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172"/>
        <w:gridCol w:w="4172"/>
      </w:tblGrid>
      <w:tr w:rsidR="00234E63" w:rsidRPr="0006020B" w:rsidTr="00FF701E">
        <w:trPr>
          <w:trHeight w:val="1770"/>
        </w:trPr>
        <w:tc>
          <w:tcPr>
            <w:tcW w:w="4172" w:type="dxa"/>
          </w:tcPr>
          <w:p w:rsidR="00234E63" w:rsidRDefault="000C3735" w:rsidP="008A57AD">
            <w:pPr>
              <w:spacing w:after="0" w:line="240" w:lineRule="auto"/>
              <w:jc w:val="both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2.8pt;height:54pt;visibility:visible">
                  <v:imagedata r:id="rId6" o:title="logo_MARIQUITO (2)"/>
                </v:shape>
              </w:pict>
            </w:r>
          </w:p>
          <w:p w:rsidR="00234E63" w:rsidRPr="0006020B" w:rsidRDefault="000C3735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0C3735">
              <w:rPr>
                <w:noProof/>
                <w:lang w:eastAsia="pt-PT"/>
              </w:rPr>
              <w:pict>
                <v:line id="_x0000_s1026" style="position:absolute;left:0;text-align:left;z-index:251658240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234E63" w:rsidRPr="0006020B" w:rsidRDefault="00234E63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234E63" w:rsidRPr="0006020B" w:rsidRDefault="00234E63" w:rsidP="008A57AD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 w:rsidR="00664FBD">
              <w:rPr>
                <w:rFonts w:ascii="Arial Black" w:hAnsi="Arial Black"/>
                <w:b/>
                <w:sz w:val="24"/>
                <w:szCs w:val="24"/>
              </w:rPr>
              <w:t>0</w:t>
            </w:r>
            <w:r w:rsidR="008D48CF">
              <w:rPr>
                <w:rFonts w:ascii="Arial Black" w:hAnsi="Arial Black"/>
                <w:b/>
                <w:sz w:val="24"/>
                <w:szCs w:val="24"/>
              </w:rPr>
              <w:t>3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 w:rsidR="00EE767B">
              <w:rPr>
                <w:rFonts w:ascii="Arial Black" w:hAnsi="Arial Black"/>
                <w:b/>
                <w:sz w:val="24"/>
                <w:szCs w:val="24"/>
              </w:rPr>
              <w:t>1</w:t>
            </w:r>
            <w:r w:rsidR="00DE58BB">
              <w:rPr>
                <w:rFonts w:ascii="Arial Black" w:hAnsi="Arial Black"/>
                <w:b/>
                <w:sz w:val="24"/>
                <w:szCs w:val="24"/>
              </w:rPr>
              <w:t>5</w:t>
            </w:r>
          </w:p>
          <w:p w:rsidR="00234E63" w:rsidRPr="0006020B" w:rsidRDefault="008D48CF" w:rsidP="00664FBD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março</w:t>
            </w:r>
            <w:proofErr w:type="gramEnd"/>
            <w:r w:rsidR="00234E63">
              <w:rPr>
                <w:rFonts w:ascii="Arial Black" w:hAnsi="Arial Black"/>
                <w:b/>
                <w:sz w:val="24"/>
                <w:szCs w:val="24"/>
              </w:rPr>
              <w:t xml:space="preserve"> de 201</w:t>
            </w:r>
            <w:r w:rsidR="00DE58BB">
              <w:rPr>
                <w:rFonts w:ascii="Arial Black" w:hAnsi="Arial Black"/>
                <w:b/>
                <w:sz w:val="24"/>
                <w:szCs w:val="24"/>
              </w:rPr>
              <w:t>5</w:t>
            </w:r>
          </w:p>
        </w:tc>
      </w:tr>
    </w:tbl>
    <w:p w:rsidR="00554F4D" w:rsidRPr="00791824" w:rsidRDefault="00554F4D" w:rsidP="00554F4D">
      <w:pPr>
        <w:jc w:val="center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Legislação fiscal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Ratificações do Presidente da república (Convenções para evitar a dupla tributação e prevenir a evasão fiscal em matéria de impostos sobre o rendimento)</w:t>
      </w:r>
      <w:r>
        <w:rPr>
          <w:rFonts w:ascii="Verdana" w:hAnsi="Verdana" w:cs="Arial"/>
          <w:b/>
          <w:sz w:val="18"/>
          <w:szCs w:val="18"/>
        </w:rPr>
        <w:t>.</w:t>
      </w: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7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Decreto do Presidente da República n.º 24/2015 - Diário da República n.º 45/2015, Série I de 2015-03-05</w:t>
        </w:r>
      </w:hyperlink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Presidência da República </w:t>
      </w: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Ratifica a Convenção entre a República Portuguesa e a Geórgia para Evitar a Dupla Tributação e Prevenir a Evasão Fiscal em Matéria de Impostos sobre o Rendimento e sobre o Património, assinada em Lisboa, em 12 de dezembro de 2012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554F4D" w:rsidRPr="00791824" w:rsidRDefault="00554F4D" w:rsidP="00415D0D">
      <w:pPr>
        <w:pStyle w:val="PargrafodaLista"/>
        <w:spacing w:line="360" w:lineRule="auto"/>
        <w:ind w:left="0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Aprovações da Assembleia da Republica</w:t>
      </w:r>
      <w:r w:rsidRPr="00791824">
        <w:rPr>
          <w:rFonts w:ascii="Verdana" w:hAnsi="Verdana"/>
          <w:sz w:val="18"/>
          <w:szCs w:val="18"/>
        </w:rPr>
        <w:t xml:space="preserve"> </w:t>
      </w:r>
      <w:r w:rsidRPr="00791824">
        <w:rPr>
          <w:rFonts w:ascii="Verdana" w:hAnsi="Verdana" w:cs="Arial"/>
          <w:b/>
          <w:sz w:val="18"/>
          <w:szCs w:val="18"/>
        </w:rPr>
        <w:t>(Convenções para evitar dupla tributação e prevenir a evasão fiscal em matéria de impostos sobre o rendimento)</w:t>
      </w: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8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Resolução da Assembleia da República n.º 23/2015 - Diário da República n.º 45/2015, Série I de 2015-03-05</w:t>
        </w:r>
      </w:hyperlink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Assembleia da República </w:t>
      </w: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Aprova a Convenção entre a República Portuguesa e a Geórgia para Evitar a Dupla Tributação e Prevenir a Evasão Fiscal em Matéria de Impostos sobre o Rendimento e sobre o Património, assinada em Lisboa, a 12 de dezembro de 2012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Regime aplicável ao exercício da atividade de investimento em capital de risco – alteração</w:t>
      </w:r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9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18/2015 - Diário da República n.º 44/2015, Série I de 2015-03-04</w:t>
        </w:r>
      </w:hyperlink>
    </w:p>
    <w:p w:rsidR="00554F4D" w:rsidRPr="00791824" w:rsidRDefault="00554F4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Assembleia da República </w:t>
      </w:r>
    </w:p>
    <w:p w:rsidR="00222A48" w:rsidRDefault="00554F4D" w:rsidP="00415D0D">
      <w:pPr>
        <w:spacing w:after="0" w:line="360" w:lineRule="auto"/>
        <w:jc w:val="both"/>
        <w:rPr>
          <w:rFonts w:ascii="Verdana" w:hAnsi="Verdana"/>
          <w:color w:val="222222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Transpõe parcialmente as Diretivas </w:t>
      </w:r>
      <w:proofErr w:type="spellStart"/>
      <w:r w:rsidRPr="00791824">
        <w:rPr>
          <w:rFonts w:ascii="Verdana" w:hAnsi="Verdana"/>
          <w:sz w:val="18"/>
          <w:szCs w:val="18"/>
        </w:rPr>
        <w:t>n.os</w:t>
      </w:r>
      <w:proofErr w:type="spellEnd"/>
      <w:r w:rsidRPr="00791824">
        <w:rPr>
          <w:rFonts w:ascii="Verdana" w:hAnsi="Verdana"/>
          <w:sz w:val="18"/>
          <w:szCs w:val="18"/>
        </w:rPr>
        <w:t xml:space="preserve"> </w:t>
      </w:r>
      <w:hyperlink r:id="rId10" w:tgtFrame="_blank" w:tooltip="Link para Diretiva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2011/61/UE</w:t>
        </w:r>
      </w:hyperlink>
      <w:r w:rsidRPr="00791824">
        <w:rPr>
          <w:rFonts w:ascii="Verdana" w:hAnsi="Verdana"/>
          <w:sz w:val="18"/>
          <w:szCs w:val="18"/>
        </w:rPr>
        <w:t xml:space="preserve">, do Parlamento Europeu e do Conselho, de 8 de junho, e </w:t>
      </w:r>
      <w:hyperlink r:id="rId11" w:tgtFrame="_blank" w:tooltip="Link para Diretiva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2013/14/UE</w:t>
        </w:r>
      </w:hyperlink>
      <w:r w:rsidRPr="00791824">
        <w:rPr>
          <w:rFonts w:ascii="Verdana" w:hAnsi="Verdana"/>
          <w:sz w:val="18"/>
          <w:szCs w:val="18"/>
        </w:rPr>
        <w:t xml:space="preserve">, do Parlamento Europeu e do Conselho, de 21 de maio, que asseguram a execução, na ordem jurídica interna, dos Regulamentos (UE) </w:t>
      </w:r>
      <w:proofErr w:type="spellStart"/>
      <w:r w:rsidRPr="00791824">
        <w:rPr>
          <w:rFonts w:ascii="Verdana" w:hAnsi="Verdana"/>
          <w:sz w:val="18"/>
          <w:szCs w:val="18"/>
        </w:rPr>
        <w:t>n.os</w:t>
      </w:r>
      <w:proofErr w:type="spellEnd"/>
      <w:r w:rsidRPr="00791824">
        <w:rPr>
          <w:rFonts w:ascii="Verdana" w:hAnsi="Verdana"/>
          <w:sz w:val="18"/>
          <w:szCs w:val="18"/>
        </w:rPr>
        <w:t xml:space="preserve"> </w:t>
      </w:r>
      <w:hyperlink r:id="rId12" w:tgtFrame="_blank" w:tooltip="Link para Regulamento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345/2013</w:t>
        </w:r>
      </w:hyperlink>
      <w:r w:rsidRPr="00791824">
        <w:rPr>
          <w:rFonts w:ascii="Verdana" w:hAnsi="Verdana"/>
          <w:sz w:val="18"/>
          <w:szCs w:val="18"/>
        </w:rPr>
        <w:t xml:space="preserve"> e </w:t>
      </w:r>
      <w:hyperlink r:id="rId13" w:tgtFrame="_blank" w:tooltip="Link para Regulamento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346/2013</w:t>
        </w:r>
      </w:hyperlink>
      <w:r w:rsidRPr="00791824">
        <w:rPr>
          <w:rFonts w:ascii="Verdana" w:hAnsi="Verdana"/>
          <w:sz w:val="18"/>
          <w:szCs w:val="18"/>
        </w:rPr>
        <w:t>, do Parlamento Europeu e do Conselho, de 17 de abril, e procede à revisão do regime aplicável ao exercício da atividade de investimento em capital de risco</w:t>
      </w:r>
      <w:r>
        <w:rPr>
          <w:rFonts w:ascii="Verdana" w:hAnsi="Verdana"/>
          <w:sz w:val="18"/>
          <w:szCs w:val="18"/>
        </w:rPr>
        <w:t>.</w:t>
      </w:r>
    </w:p>
    <w:p w:rsidR="00554F4D" w:rsidRDefault="00554F4D" w:rsidP="008D48CF">
      <w:pPr>
        <w:jc w:val="both"/>
        <w:rPr>
          <w:rFonts w:ascii="Verdana" w:hAnsi="Verdana"/>
          <w:color w:val="222222"/>
          <w:sz w:val="18"/>
          <w:szCs w:val="18"/>
        </w:rPr>
      </w:pPr>
    </w:p>
    <w:p w:rsidR="008219EE" w:rsidRDefault="008219EE" w:rsidP="00D706CF">
      <w:pPr>
        <w:jc w:val="both"/>
        <w:sectPr w:rsidR="008219EE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39D1" w:rsidRPr="0006020B" w:rsidTr="007219E7">
        <w:trPr>
          <w:trHeight w:val="1770"/>
        </w:trPr>
        <w:tc>
          <w:tcPr>
            <w:tcW w:w="4172" w:type="dxa"/>
          </w:tcPr>
          <w:p w:rsidR="00C239D1" w:rsidRDefault="008D48CF" w:rsidP="008A57AD">
            <w:pPr>
              <w:spacing w:after="0" w:line="240" w:lineRule="auto"/>
              <w:jc w:val="both"/>
            </w:pPr>
            <w:r>
              <w:rPr>
                <w:noProof/>
              </w:rPr>
              <w:lastRenderedPageBreak/>
              <w:pict>
                <v:shape id="_x0000_i1026" type="#_x0000_t75" style="width:141.6pt;height:54pt;visibility:visible">
                  <v:imagedata r:id="rId6" o:title="logo_MARIQUITO (2)"/>
                </v:shape>
              </w:pict>
            </w:r>
          </w:p>
          <w:p w:rsidR="00C239D1" w:rsidRPr="0006020B" w:rsidRDefault="000C3735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0C3735">
              <w:rPr>
                <w:noProof/>
                <w:lang w:eastAsia="pt-PT"/>
              </w:rPr>
              <w:pict>
                <v:line id="_x0000_s1037" style="position:absolute;left:0;text-align:left;z-index:251663360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8D48CF" w:rsidRPr="0006020B" w:rsidRDefault="008D48CF" w:rsidP="008D48CF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03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39D1" w:rsidRPr="0006020B" w:rsidRDefault="008D48CF" w:rsidP="008D48CF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março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39D1" w:rsidRPr="0006020B" w:rsidRDefault="00C239D1" w:rsidP="008A57AD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Estatuto dos Benefícios Fiscais, Código do Imposto do Selo, Regime Fundos Investimento Imobiliário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14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Declaração de Retificação n.º 12/2015 - Diário da República n.º 49/2015, Série I de 2015-03-11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Presidência do Conselho de Ministros - </w:t>
      </w:r>
      <w:proofErr w:type="spellStart"/>
      <w:r w:rsidRPr="00791824">
        <w:rPr>
          <w:rFonts w:ascii="Verdana" w:hAnsi="Verdana"/>
          <w:sz w:val="18"/>
          <w:szCs w:val="18"/>
        </w:rPr>
        <w:t>Secretaria-Geral</w:t>
      </w:r>
      <w:proofErr w:type="spellEnd"/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Retifica o </w:t>
      </w:r>
      <w:hyperlink r:id="rId15" w:tgtFrame="_blank" w:tooltip="Decreto-Lei n.º 7/2015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7/2015</w:t>
        </w:r>
      </w:hyperlink>
      <w:r w:rsidRPr="00791824">
        <w:rPr>
          <w:rFonts w:ascii="Verdana" w:hAnsi="Verdana"/>
          <w:sz w:val="18"/>
          <w:szCs w:val="18"/>
        </w:rPr>
        <w:t xml:space="preserve">, de 13 de janeiro, do Ministério das Finanças, que no uso da autorização legislativa concedida pela </w:t>
      </w:r>
      <w:hyperlink r:id="rId16" w:tgtFrame="_blank" w:tooltip="Lei n.º 83-C/2013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83-C/2013</w:t>
        </w:r>
      </w:hyperlink>
      <w:r w:rsidRPr="00791824">
        <w:rPr>
          <w:rFonts w:ascii="Verdana" w:hAnsi="Verdana"/>
          <w:sz w:val="18"/>
          <w:szCs w:val="18"/>
        </w:rPr>
        <w:t xml:space="preserve">, de 31 de dezembro, procede à reforma do regime de tributação dos organismos de investimento coletivo, alterando o Estatuto dos Benefícios Fiscais, aprovado pelo </w:t>
      </w:r>
      <w:hyperlink r:id="rId17" w:tgtFrame="_blank" w:tooltip="Decreto-Lei n.º 215/89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215/89</w:t>
        </w:r>
      </w:hyperlink>
      <w:r w:rsidRPr="00791824">
        <w:rPr>
          <w:rFonts w:ascii="Verdana" w:hAnsi="Verdana"/>
          <w:sz w:val="18"/>
          <w:szCs w:val="18"/>
        </w:rPr>
        <w:t xml:space="preserve">, de 1 de julho, o Código do Imposto do Selo, aprovado pela </w:t>
      </w:r>
      <w:hyperlink r:id="rId18" w:tgtFrame="_blank" w:tooltip="Lei n.º 150/99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150/99</w:t>
        </w:r>
      </w:hyperlink>
      <w:r w:rsidRPr="00791824">
        <w:rPr>
          <w:rFonts w:ascii="Verdana" w:hAnsi="Verdana"/>
          <w:sz w:val="18"/>
          <w:szCs w:val="18"/>
        </w:rPr>
        <w:t xml:space="preserve">, de 11 de setembro e a </w:t>
      </w:r>
      <w:hyperlink r:id="rId19" w:tgtFrame="_blank" w:tooltip="Lei n.º 64-A/2008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64-A/2008</w:t>
        </w:r>
      </w:hyperlink>
      <w:r w:rsidRPr="00791824">
        <w:rPr>
          <w:rFonts w:ascii="Verdana" w:hAnsi="Verdana"/>
          <w:sz w:val="18"/>
          <w:szCs w:val="18"/>
        </w:rPr>
        <w:t>, de 31 de dezembro, publicado no Diário da República, 1.ª série, n.º 8, de 13 de janeiro de 2015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IRS – instruções preenchimento DRM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0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Declaração de Retificação n.º 10/2015 - Diário da República n.º 46/2015, Série I de 2015-03-06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Presidência do Conselho de Ministros - </w:t>
      </w:r>
      <w:proofErr w:type="spellStart"/>
      <w:r w:rsidRPr="00791824">
        <w:rPr>
          <w:rFonts w:ascii="Verdana" w:hAnsi="Verdana"/>
          <w:sz w:val="18"/>
          <w:szCs w:val="18"/>
        </w:rPr>
        <w:t>Secretaria-Geral</w:t>
      </w:r>
      <w:proofErr w:type="spellEnd"/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Retifica a </w:t>
      </w:r>
      <w:hyperlink r:id="rId21" w:tgtFrame="_blank" w:tooltip="Portaria n.º 17-A/2015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17-A/2015</w:t>
        </w:r>
      </w:hyperlink>
      <w:r w:rsidRPr="00791824">
        <w:rPr>
          <w:rFonts w:ascii="Verdana" w:hAnsi="Verdana"/>
          <w:sz w:val="18"/>
          <w:szCs w:val="18"/>
        </w:rPr>
        <w:t>, de 30 de janeiro, do Ministério das Finanças, que aprova as instruções de preenchimento da Declaração Mensal de Remunerações - AT, para cumprimento da obrigação declarativa a que se refere a subalínea i) da alínea c), e a alínea d), do n.º 1 do artigo 119.º, do Código do IRS, publicada no Diário da República n.º 21, suplemento, 1.ª série, de 30 de janeiro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Orçamento do Estado 2015 – normas de execução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2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36/2015 - Diário da República n.º 47/2015, Série I de 2015-03-09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Ministério das Finanças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Estabelece as normas de execução do Orçamento do Estado para 2015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IRC – instruções preenchimento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3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72/2015 - Diário da República n.º 49/2015, Série I de 2015-03-11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 das Finanças 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Aprova a declaração modelo 29 para cumprimento das obrigações declarativas previstas nos </w:t>
      </w:r>
      <w:proofErr w:type="spellStart"/>
      <w:r w:rsidRPr="00791824">
        <w:rPr>
          <w:rFonts w:ascii="Verdana" w:hAnsi="Verdana"/>
          <w:sz w:val="18"/>
          <w:szCs w:val="18"/>
        </w:rPr>
        <w:t>n.os</w:t>
      </w:r>
      <w:proofErr w:type="spellEnd"/>
      <w:r w:rsidRPr="00791824">
        <w:rPr>
          <w:rFonts w:ascii="Verdana" w:hAnsi="Verdana"/>
          <w:sz w:val="18"/>
          <w:szCs w:val="18"/>
        </w:rPr>
        <w:t xml:space="preserve"> 4 e 5 do artigo 83.º do Código do IRC, e respetivas instruções de preenchimento</w:t>
      </w:r>
      <w:r>
        <w:rPr>
          <w:rFonts w:ascii="Verdana" w:hAnsi="Verdana"/>
          <w:sz w:val="18"/>
          <w:szCs w:val="18"/>
        </w:rPr>
        <w:t>.</w:t>
      </w:r>
    </w:p>
    <w:p w:rsidR="00B378C9" w:rsidRPr="002F42B2" w:rsidRDefault="00B378C9" w:rsidP="00B378C9">
      <w:pPr>
        <w:jc w:val="both"/>
        <w:rPr>
          <w:rFonts w:ascii="Verdana" w:hAnsi="Verdana"/>
          <w:sz w:val="18"/>
          <w:szCs w:val="18"/>
        </w:rPr>
      </w:pPr>
    </w:p>
    <w:p w:rsidR="00222A48" w:rsidRDefault="00222A48" w:rsidP="003231B5">
      <w:pPr>
        <w:shd w:val="clear" w:color="auto" w:fill="FFFFFF" w:themeFill="background1"/>
        <w:spacing w:line="360" w:lineRule="auto"/>
        <w:jc w:val="both"/>
        <w:rPr>
          <w:rFonts w:ascii="Verdana" w:hAnsi="Verdana" w:cs="Arial"/>
          <w:color w:val="000000"/>
          <w:sz w:val="18"/>
          <w:szCs w:val="18"/>
        </w:rPr>
        <w:sectPr w:rsidR="00222A48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4D4D" w:rsidRPr="0006020B" w:rsidTr="001B54C5">
        <w:trPr>
          <w:trHeight w:val="1770"/>
        </w:trPr>
        <w:tc>
          <w:tcPr>
            <w:tcW w:w="4172" w:type="dxa"/>
          </w:tcPr>
          <w:p w:rsidR="00C24D4D" w:rsidRDefault="00C24D4D" w:rsidP="001B54C5">
            <w:pPr>
              <w:spacing w:after="0" w:line="240" w:lineRule="auto"/>
              <w:jc w:val="both"/>
            </w:pPr>
            <w:r>
              <w:lastRenderedPageBreak/>
              <w:br w:type="page"/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br w:type="page"/>
            </w:r>
            <w:r w:rsidR="008D48CF">
              <w:rPr>
                <w:noProof/>
              </w:rPr>
              <w:pict>
                <v:shape id="_x0000_i1027" type="#_x0000_t75" style="width:141.6pt;height:54pt;visibility:visible">
                  <v:imagedata r:id="rId6" o:title="logo_MARIQUITO (2)"/>
                </v:shape>
              </w:pict>
            </w:r>
          </w:p>
          <w:p w:rsidR="00C24D4D" w:rsidRPr="0006020B" w:rsidRDefault="000C3735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0C3735">
              <w:rPr>
                <w:noProof/>
                <w:lang w:eastAsia="pt-PT"/>
              </w:rPr>
              <w:pict>
                <v:line id="_x0000_s1041" style="position:absolute;left:0;text-align:left;z-index:251665408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8D48CF" w:rsidRPr="0006020B" w:rsidRDefault="008D48CF" w:rsidP="008D48CF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03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4D4D" w:rsidRPr="0006020B" w:rsidRDefault="008D48CF" w:rsidP="008D48CF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março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 xml:space="preserve">IRC – </w:t>
      </w:r>
      <w:proofErr w:type="gramStart"/>
      <w:r w:rsidRPr="00791824">
        <w:rPr>
          <w:rFonts w:ascii="Verdana" w:hAnsi="Verdana"/>
          <w:b/>
          <w:sz w:val="18"/>
          <w:szCs w:val="18"/>
        </w:rPr>
        <w:t>modelo</w:t>
      </w:r>
      <w:proofErr w:type="gramEnd"/>
      <w:r w:rsidRPr="00791824">
        <w:rPr>
          <w:rFonts w:ascii="Verdana" w:hAnsi="Verdana"/>
          <w:b/>
          <w:sz w:val="18"/>
          <w:szCs w:val="18"/>
        </w:rPr>
        <w:t xml:space="preserve"> 28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4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77-A/2015 - Diário da República n.º 52/2015, 1º Suplemento, Série I de 2015-03-16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Ministérios das Finanças e da Saúde 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Aprova o modelo de declaração da contribuição extraordinária sobre a indústria farmacêutica (modelo 28) e respetivas instruções de preenchimento</w:t>
      </w:r>
      <w:r>
        <w:rPr>
          <w:rFonts w:ascii="Verdana" w:hAnsi="Verdana"/>
          <w:sz w:val="18"/>
          <w:szCs w:val="18"/>
        </w:rPr>
        <w:t>.</w:t>
      </w:r>
    </w:p>
    <w:p w:rsidR="00415D0D" w:rsidRPr="00415D0D" w:rsidRDefault="00415D0D" w:rsidP="00E1590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Regime de benefícios contratuais ao investimento produtivo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5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94/2015 - Diário da República n.º 61/2015, Série I de 2015-03-27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Ministérios das Finanças e da Economia 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Procede à regulamentação do regime de benefícios fiscais contratuais ao investimento produtivo</w:t>
      </w:r>
      <w:r>
        <w:rPr>
          <w:rFonts w:ascii="Verdana" w:hAnsi="Verdana"/>
          <w:sz w:val="18"/>
          <w:szCs w:val="18"/>
        </w:rPr>
        <w:t>.</w:t>
      </w:r>
    </w:p>
    <w:p w:rsidR="00415D0D" w:rsidRPr="00791824" w:rsidRDefault="00415D0D" w:rsidP="00E15906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IRS – modelos de declaração e de recibo</w:t>
      </w:r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6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98-A/2015 - Diário da República n.º 63/2015, 1º Suplemento, Série I de 2015-03-31</w:t>
        </w:r>
      </w:hyperlink>
    </w:p>
    <w:p w:rsidR="00415D0D" w:rsidRPr="00791824" w:rsidRDefault="00415D0D" w:rsidP="00415D0D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 das Finanças </w:t>
      </w:r>
    </w:p>
    <w:p w:rsidR="00415D0D" w:rsidRPr="00791824" w:rsidRDefault="00415D0D" w:rsidP="00415D0D">
      <w:pPr>
        <w:pStyle w:val="NormalWeb"/>
        <w:spacing w:before="0" w:beforeAutospacing="0" w:after="0" w:afterAutospacing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Aprova a declaração modelo 2, o modelo do recibo eletrónico de quitação de rendas e a declaração modelo 44, previstos no Código do Imposto do Selo e no Código do IRS</w:t>
      </w:r>
    </w:p>
    <w:p w:rsidR="00E15906" w:rsidRPr="00E15906" w:rsidRDefault="00E15906" w:rsidP="00E15906">
      <w:pPr>
        <w:spacing w:after="0" w:line="240" w:lineRule="auto"/>
        <w:jc w:val="both"/>
        <w:rPr>
          <w:rFonts w:ascii="Verdana" w:hAnsi="Verdana" w:cs="Arial"/>
          <w:sz w:val="18"/>
          <w:szCs w:val="18"/>
        </w:rPr>
      </w:pPr>
    </w:p>
    <w:p w:rsidR="00415D0D" w:rsidRPr="00791824" w:rsidRDefault="00415D0D" w:rsidP="00415D0D">
      <w:pPr>
        <w:jc w:val="center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Outra Legislação de interesse económico e financeiro</w:t>
      </w:r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>Regime de acesso e exercício de profissões e de atividades profissionais</w:t>
      </w:r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7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37/2015 - Diário da República n.º 48/2015, Série I de 2015-03-10</w:t>
        </w:r>
      </w:hyperlink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 da Solidariedade, Emprego e Segurança Social </w:t>
      </w:r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No uso da autorização legislativa concedida pela </w:t>
      </w:r>
      <w:hyperlink r:id="rId28" w:tgtFrame="_blank" w:tooltip="Lei n.º 83-C/2013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83-C/2013</w:t>
        </w:r>
      </w:hyperlink>
      <w:r w:rsidRPr="00791824">
        <w:rPr>
          <w:rFonts w:ascii="Verdana" w:hAnsi="Verdana"/>
          <w:sz w:val="18"/>
          <w:szCs w:val="18"/>
        </w:rPr>
        <w:t>, de 31 de dezembro, estabelece o regime de acesso e exercício de profissões e de atividades profissionais</w:t>
      </w:r>
      <w:r>
        <w:rPr>
          <w:rFonts w:ascii="Verdana" w:hAnsi="Verdana"/>
          <w:sz w:val="18"/>
          <w:szCs w:val="18"/>
        </w:rPr>
        <w:t>.</w:t>
      </w:r>
    </w:p>
    <w:p w:rsidR="00415D0D" w:rsidRPr="00791824" w:rsidRDefault="00415D0D" w:rsidP="00E15906">
      <w:pPr>
        <w:spacing w:after="0" w:line="24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  <w:r w:rsidRPr="00791824">
        <w:rPr>
          <w:rFonts w:ascii="Verdana" w:hAnsi="Verdana"/>
          <w:b/>
          <w:sz w:val="18"/>
          <w:szCs w:val="18"/>
        </w:rPr>
        <w:t xml:space="preserve">Regime Geral das Instituições de Crédito e Sociedades </w:t>
      </w:r>
      <w:proofErr w:type="gramStart"/>
      <w:r w:rsidRPr="00791824">
        <w:rPr>
          <w:rFonts w:ascii="Verdana" w:hAnsi="Verdana"/>
          <w:b/>
          <w:sz w:val="18"/>
          <w:szCs w:val="18"/>
        </w:rPr>
        <w:t>Financeiras ,</w:t>
      </w:r>
      <w:proofErr w:type="gramEnd"/>
      <w:r w:rsidRPr="00791824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Pr="00791824">
        <w:rPr>
          <w:rFonts w:ascii="Verdana" w:hAnsi="Verdana"/>
          <w:b/>
          <w:sz w:val="18"/>
          <w:szCs w:val="18"/>
        </w:rPr>
        <w:t>Codigo</w:t>
      </w:r>
      <w:proofErr w:type="spellEnd"/>
      <w:r w:rsidRPr="00791824">
        <w:rPr>
          <w:rFonts w:ascii="Verdana" w:hAnsi="Verdana"/>
          <w:b/>
          <w:sz w:val="18"/>
          <w:szCs w:val="18"/>
        </w:rPr>
        <w:t xml:space="preserve"> Valores Mobiliários – alterações</w:t>
      </w:r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29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23-A/2015 - Diário da República n.º 60/2015, 1º Suplemento, Série I de 2015-03-26</w:t>
        </w:r>
      </w:hyperlink>
    </w:p>
    <w:p w:rsidR="00415D0D" w:rsidRPr="00791824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Assembleia da República </w:t>
      </w:r>
    </w:p>
    <w:p w:rsidR="00B378C9" w:rsidRPr="002F42B2" w:rsidRDefault="00415D0D" w:rsidP="00E159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Transpõe as Diretivas </w:t>
      </w:r>
      <w:hyperlink r:id="rId30" w:tgtFrame="_blank" w:tooltip="Link para Diretiva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2014/49/UE</w:t>
        </w:r>
      </w:hyperlink>
      <w:r w:rsidRPr="00791824">
        <w:rPr>
          <w:rFonts w:ascii="Verdana" w:hAnsi="Verdana"/>
          <w:sz w:val="18"/>
          <w:szCs w:val="18"/>
        </w:rPr>
        <w:t xml:space="preserve">, do Parlamento Europeu e do Conselho, de 16 de abril, relativa aos sistemas de garantia de depósitos, e </w:t>
      </w:r>
      <w:hyperlink r:id="rId31" w:tgtFrame="_blank" w:tooltip="Link para Diretiva da União Europeia" w:history="1">
        <w:r w:rsidRPr="00791824">
          <w:rPr>
            <w:rStyle w:val="Hiperligao"/>
            <w:rFonts w:ascii="Verdana" w:hAnsi="Verdana"/>
            <w:sz w:val="18"/>
            <w:szCs w:val="18"/>
          </w:rPr>
          <w:t>2014/59/UE</w:t>
        </w:r>
      </w:hyperlink>
      <w:r w:rsidRPr="00791824">
        <w:rPr>
          <w:rFonts w:ascii="Verdana" w:hAnsi="Verdana"/>
          <w:sz w:val="18"/>
          <w:szCs w:val="18"/>
        </w:rPr>
        <w:t xml:space="preserve">, do Parlamento Europeu e do Conselho, de 15 de maio, alterando o Regime Geral das Instituições de Crédito e Sociedades Financeiras, a Lei Orgânica do Banco de Portugal, o </w:t>
      </w:r>
      <w:hyperlink r:id="rId32" w:tgtFrame="_blank" w:tooltip="Decreto-Lei n.º 345/98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345/98</w:t>
        </w:r>
      </w:hyperlink>
      <w:r w:rsidRPr="00791824">
        <w:rPr>
          <w:rFonts w:ascii="Verdana" w:hAnsi="Verdana"/>
          <w:sz w:val="18"/>
          <w:szCs w:val="18"/>
        </w:rPr>
        <w:t xml:space="preserve">, de 9 de novembro, o Código dos Valores Mobiliários, o </w:t>
      </w:r>
      <w:hyperlink r:id="rId33" w:tgtFrame="_blank" w:tooltip="Decreto-Lei n.º 199/2006" w:history="1">
        <w:r w:rsidRPr="00791824">
          <w:rPr>
            <w:rStyle w:val="Hiperligao"/>
            <w:rFonts w:ascii="Verdana" w:hAnsi="Verdana"/>
            <w:sz w:val="18"/>
            <w:szCs w:val="18"/>
          </w:rPr>
          <w:t>Decreto-Lei n.º 199/2006</w:t>
        </w:r>
      </w:hyperlink>
      <w:r w:rsidRPr="00791824">
        <w:rPr>
          <w:rFonts w:ascii="Verdana" w:hAnsi="Verdana"/>
          <w:sz w:val="18"/>
          <w:szCs w:val="18"/>
        </w:rPr>
        <w:t xml:space="preserve">, de 25 de outubro, e a </w:t>
      </w:r>
      <w:hyperlink r:id="rId34" w:tgtFrame="_blank" w:tooltip="Lei n.º 63-A/2008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63-A/2008</w:t>
        </w:r>
      </w:hyperlink>
      <w:r w:rsidRPr="00791824">
        <w:rPr>
          <w:rFonts w:ascii="Verdana" w:hAnsi="Verdana"/>
          <w:sz w:val="18"/>
          <w:szCs w:val="18"/>
        </w:rPr>
        <w:t>, de 24 de novembro</w:t>
      </w:r>
      <w:r>
        <w:rPr>
          <w:rFonts w:ascii="Verdana" w:hAnsi="Verdana"/>
          <w:sz w:val="18"/>
          <w:szCs w:val="18"/>
        </w:rPr>
        <w:t>.</w:t>
      </w:r>
    </w:p>
    <w:p w:rsidR="00664FBD" w:rsidRDefault="00664FBD" w:rsidP="001B54C5">
      <w:pPr>
        <w:shd w:val="clear" w:color="auto" w:fill="FFFFFF" w:themeFill="background1"/>
        <w:spacing w:line="312" w:lineRule="auto"/>
        <w:ind w:left="480" w:right="90"/>
        <w:jc w:val="both"/>
        <w:rPr>
          <w:rFonts w:ascii="Verdana" w:hAnsi="Verdana"/>
          <w:color w:val="222222"/>
          <w:sz w:val="20"/>
          <w:szCs w:val="20"/>
        </w:rPr>
      </w:pPr>
    </w:p>
    <w:p w:rsidR="00C24D4D" w:rsidRDefault="00C24D4D">
      <w:pPr>
        <w:sectPr w:rsidR="00C24D4D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C24D4D" w:rsidRPr="0006020B" w:rsidTr="001B54C5">
        <w:trPr>
          <w:trHeight w:val="1770"/>
        </w:trPr>
        <w:tc>
          <w:tcPr>
            <w:tcW w:w="4172" w:type="dxa"/>
          </w:tcPr>
          <w:p w:rsidR="00C24D4D" w:rsidRDefault="00C24D4D" w:rsidP="001B54C5">
            <w:pPr>
              <w:spacing w:after="0" w:line="240" w:lineRule="auto"/>
              <w:jc w:val="both"/>
            </w:pPr>
            <w:r>
              <w:rPr>
                <w:rFonts w:ascii="Verdana" w:hAnsi="Verdana"/>
                <w:color w:val="222222"/>
                <w:sz w:val="20"/>
                <w:szCs w:val="20"/>
              </w:rPr>
              <w:lastRenderedPageBreak/>
              <w:br w:type="page"/>
            </w:r>
            <w:r>
              <w:rPr>
                <w:rFonts w:ascii="Verdana" w:hAnsi="Verdana"/>
                <w:color w:val="222222"/>
                <w:sz w:val="20"/>
                <w:szCs w:val="20"/>
              </w:rPr>
              <w:br w:type="page"/>
            </w:r>
            <w:r w:rsidR="008D48CF">
              <w:rPr>
                <w:noProof/>
              </w:rPr>
              <w:pict>
                <v:shape id="_x0000_i1028" type="#_x0000_t75" style="width:141.6pt;height:54pt;visibility:visible">
                  <v:imagedata r:id="rId6" o:title="logo_MARIQUITO (2)"/>
                </v:shape>
              </w:pict>
            </w:r>
          </w:p>
          <w:p w:rsidR="00C24D4D" w:rsidRPr="0006020B" w:rsidRDefault="000C3735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0C3735">
              <w:rPr>
                <w:noProof/>
                <w:lang w:eastAsia="pt-PT"/>
              </w:rPr>
              <w:pict>
                <v:line id="_x0000_s1043" style="position:absolute;left:0;text-align:left;z-index:251669504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8D48CF" w:rsidRPr="0006020B" w:rsidRDefault="008D48CF" w:rsidP="008D48CF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03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C24D4D" w:rsidRPr="0006020B" w:rsidRDefault="008D48CF" w:rsidP="008D48CF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março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C24D4D" w:rsidRPr="0006020B" w:rsidRDefault="00C24D4D" w:rsidP="001B54C5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E209E9" w:rsidRPr="00791824" w:rsidRDefault="00E209E9" w:rsidP="00E209E9">
      <w:pPr>
        <w:spacing w:after="0" w:line="36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791824">
        <w:rPr>
          <w:rFonts w:ascii="Verdana" w:hAnsi="Verdana" w:cs="Tahoma"/>
          <w:b/>
          <w:color w:val="000000"/>
          <w:sz w:val="18"/>
          <w:szCs w:val="18"/>
        </w:rPr>
        <w:t>Municípios e entidades intermunicipais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35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25/2015 - Diário da República n.º 62/2015, Série I de 2015-03-30</w:t>
        </w:r>
      </w:hyperlink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Assembleia da República 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Primeira alteração à </w:t>
      </w:r>
      <w:hyperlink r:id="rId36" w:tgtFrame="_blank" w:tooltip="Lei n.º 75/2013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75/2013</w:t>
        </w:r>
      </w:hyperlink>
      <w:r w:rsidRPr="00791824">
        <w:rPr>
          <w:rFonts w:ascii="Verdana" w:hAnsi="Verdana"/>
          <w:sz w:val="18"/>
          <w:szCs w:val="18"/>
        </w:rPr>
        <w:t>, de 12 de setembro, que estabelece o regime jurídico das autarquias locais, aprova o estatuto das entidades intermunicipais, estabelece o regime jurídico da transferência de competências do Estado para as autarquias locais e para as entidades intermunicipais e aprova o regime jurídico do associativismo autárquico</w:t>
      </w:r>
      <w:r>
        <w:rPr>
          <w:rFonts w:ascii="Verdana" w:hAnsi="Verdana"/>
          <w:sz w:val="18"/>
          <w:szCs w:val="18"/>
        </w:rPr>
        <w:t>.</w:t>
      </w:r>
    </w:p>
    <w:p w:rsidR="00E209E9" w:rsidRPr="00E209E9" w:rsidRDefault="00E209E9" w:rsidP="00E209E9">
      <w:pPr>
        <w:spacing w:after="0" w:line="240" w:lineRule="auto"/>
        <w:jc w:val="both"/>
        <w:rPr>
          <w:rFonts w:ascii="Verdana" w:hAnsi="Verdana" w:cs="Tahoma"/>
          <w:color w:val="000000"/>
          <w:sz w:val="18"/>
          <w:szCs w:val="18"/>
        </w:rPr>
      </w:pP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 w:cs="Tahoma"/>
          <w:b/>
          <w:color w:val="000000"/>
          <w:sz w:val="18"/>
          <w:szCs w:val="18"/>
        </w:rPr>
      </w:pPr>
      <w:r w:rsidRPr="00791824">
        <w:rPr>
          <w:rFonts w:ascii="Verdana" w:hAnsi="Verdana" w:cs="Tahoma"/>
          <w:b/>
          <w:color w:val="000000"/>
          <w:sz w:val="18"/>
          <w:szCs w:val="18"/>
        </w:rPr>
        <w:t>Lei dos compromissos - alteração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hyperlink r:id="rId37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22/2015 - Diário da República n.º 53/2015, Série I de 2015-03-17</w:t>
        </w:r>
      </w:hyperlink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Assembleia da República 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Quarta alteração à </w:t>
      </w:r>
      <w:hyperlink r:id="rId38" w:tgtFrame="_blank" w:tooltip="Lei n.º 8/2012" w:history="1">
        <w:r w:rsidRPr="00791824">
          <w:rPr>
            <w:rStyle w:val="Hiperligao"/>
            <w:rFonts w:ascii="Verdana" w:hAnsi="Verdana"/>
            <w:sz w:val="18"/>
            <w:szCs w:val="18"/>
          </w:rPr>
          <w:t>Lei n.º 8/2012</w:t>
        </w:r>
      </w:hyperlink>
      <w:r w:rsidRPr="00791824">
        <w:rPr>
          <w:rFonts w:ascii="Verdana" w:hAnsi="Verdana"/>
          <w:sz w:val="18"/>
          <w:szCs w:val="18"/>
        </w:rPr>
        <w:t>, de 21 de fevereiro, que aprova as regras aplicáveis à assunção de compromissos e aos pagamentos em atraso das entidades públicas</w:t>
      </w:r>
      <w:r>
        <w:rPr>
          <w:rFonts w:ascii="Verdana" w:hAnsi="Verdana"/>
          <w:sz w:val="18"/>
          <w:szCs w:val="18"/>
        </w:rPr>
        <w:t>.</w:t>
      </w:r>
    </w:p>
    <w:p w:rsidR="00E209E9" w:rsidRPr="00791824" w:rsidRDefault="00E209E9" w:rsidP="00E209E9">
      <w:pPr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Programas operacionais / Apoios</w:t>
      </w: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hyperlink r:id="rId39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58/2015 - Diário da República n.º 42/2015, Série I de 2015-03-02</w:t>
        </w:r>
      </w:hyperlink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 da Agricultura e do Mar </w:t>
      </w: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Estabelece o regime de aplicação do apoio 7.10.2, «Manutenção das galerias ripícolas», inseridas no apoio n.º 7.10, «</w:t>
      </w:r>
      <w:proofErr w:type="spellStart"/>
      <w:r w:rsidRPr="00791824">
        <w:rPr>
          <w:rFonts w:ascii="Verdana" w:hAnsi="Verdana"/>
          <w:sz w:val="18"/>
          <w:szCs w:val="18"/>
        </w:rPr>
        <w:t>Silvoambientais</w:t>
      </w:r>
      <w:proofErr w:type="spellEnd"/>
      <w:r w:rsidRPr="00791824">
        <w:rPr>
          <w:rFonts w:ascii="Verdana" w:hAnsi="Verdana"/>
          <w:sz w:val="18"/>
          <w:szCs w:val="18"/>
        </w:rPr>
        <w:t>», da medida n.º 7 «Agricultura e Recursos Naturais», do Programa de Desenvolvimento Rural do Continente, abreviadamente designado por PDR 2020</w:t>
      </w:r>
      <w:r>
        <w:rPr>
          <w:rFonts w:ascii="Verdana" w:hAnsi="Verdana"/>
          <w:sz w:val="18"/>
          <w:szCs w:val="18"/>
        </w:rPr>
        <w:t>.</w:t>
      </w:r>
    </w:p>
    <w:p w:rsidR="00E209E9" w:rsidRPr="00791824" w:rsidRDefault="00E209E9" w:rsidP="00E209E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hyperlink r:id="rId40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60-A/2015 - Diário da República n.º 42/2015, 1º Suplemento, Série I de 2015-03-02</w:t>
        </w:r>
      </w:hyperlink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Presidência do Conselho de Ministros e Ministérios da Educação e Ciência e da Solidariedade, Emprego e Segurança Social</w:t>
      </w: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Adota o Regulamento que Estabelece Normas Comuns sobre o Fundo Social Europeu</w:t>
      </w:r>
      <w:r>
        <w:rPr>
          <w:rFonts w:ascii="Verdana" w:hAnsi="Verdana"/>
          <w:sz w:val="18"/>
          <w:szCs w:val="18"/>
        </w:rPr>
        <w:t>.</w:t>
      </w:r>
    </w:p>
    <w:p w:rsidR="00E209E9" w:rsidRPr="00791824" w:rsidRDefault="00E209E9" w:rsidP="00E209E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hyperlink r:id="rId41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85/2015 - Diário da República n.º 56/2015, Série I de 2015-03-20</w:t>
        </w:r>
      </w:hyperlink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 xml:space="preserve">Ministério da Solidariedade, Emprego e Segurança Social </w:t>
      </w: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Cria a medida de Apoio à Mobilidade Geográfica no Mercado de Trabalho</w:t>
      </w:r>
      <w:r>
        <w:rPr>
          <w:rFonts w:ascii="Verdana" w:hAnsi="Verdana"/>
          <w:sz w:val="18"/>
          <w:szCs w:val="18"/>
        </w:rPr>
        <w:t>.</w:t>
      </w:r>
    </w:p>
    <w:p w:rsidR="00E209E9" w:rsidRPr="00791824" w:rsidRDefault="00E209E9" w:rsidP="00E209E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  <w:hyperlink r:id="rId42" w:tgtFrame="_blank" w:tooltip="Abrir documento em nova página" w:history="1">
        <w:r w:rsidRPr="00791824">
          <w:rPr>
            <w:rStyle w:val="Hiperligao"/>
            <w:rFonts w:ascii="Verdana" w:hAnsi="Verdana"/>
            <w:sz w:val="18"/>
            <w:szCs w:val="18"/>
          </w:rPr>
          <w:t>Portaria n.º 86/2015 - Diário da República n.º 56/2015, Série I de 2015-03-20</w:t>
        </w:r>
      </w:hyperlink>
    </w:p>
    <w:p w:rsidR="00E209E9" w:rsidRDefault="00E209E9" w:rsidP="00E209E9">
      <w:pPr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Ministério da Solidariedade, Emprego e Segurança Social</w:t>
      </w:r>
      <w:r>
        <w:rPr>
          <w:rFonts w:ascii="Verdana" w:hAnsi="Verdana"/>
          <w:sz w:val="18"/>
          <w:szCs w:val="18"/>
        </w:rPr>
        <w:t>.</w:t>
      </w:r>
    </w:p>
    <w:p w:rsidR="00E209E9" w:rsidRDefault="00E209E9" w:rsidP="00E209E9">
      <w:pPr>
        <w:rPr>
          <w:rFonts w:ascii="Verdana" w:hAnsi="Verdana"/>
          <w:sz w:val="18"/>
          <w:szCs w:val="18"/>
        </w:rPr>
        <w:sectPr w:rsidR="00E209E9" w:rsidSect="00FF701E">
          <w:pgSz w:w="11906" w:h="16838"/>
          <w:pgMar w:top="1417" w:right="1701" w:bottom="1417" w:left="1701" w:header="708" w:footer="708" w:gutter="0"/>
          <w:pgBorders w:offsetFrom="page">
            <w:top w:val="single" w:sz="24" w:space="24" w:color="C55F00"/>
            <w:left w:val="single" w:sz="24" w:space="24" w:color="C55F00"/>
            <w:bottom w:val="single" w:sz="24" w:space="24" w:color="C55F00"/>
            <w:right w:val="single" w:sz="24" w:space="24" w:color="C55F00"/>
          </w:pgBorders>
          <w:cols w:space="708"/>
          <w:docGrid w:linePitch="360"/>
        </w:sectPr>
      </w:pPr>
      <w:r w:rsidRPr="00791824">
        <w:rPr>
          <w:rFonts w:ascii="Verdana" w:hAnsi="Verdana"/>
          <w:sz w:val="18"/>
          <w:szCs w:val="18"/>
        </w:rPr>
        <w:t>Cria a medida REATIVAR</w:t>
      </w:r>
      <w:r>
        <w:rPr>
          <w:rFonts w:ascii="Verdana" w:hAnsi="Verdana"/>
          <w:sz w:val="18"/>
          <w:szCs w:val="18"/>
        </w:rPr>
        <w:t>.</w:t>
      </w:r>
    </w:p>
    <w:tbl>
      <w:tblPr>
        <w:tblW w:w="16688" w:type="dxa"/>
        <w:tblLook w:val="00A0"/>
      </w:tblPr>
      <w:tblGrid>
        <w:gridCol w:w="4172"/>
        <w:gridCol w:w="4172"/>
        <w:gridCol w:w="4172"/>
        <w:gridCol w:w="4172"/>
      </w:tblGrid>
      <w:tr w:rsidR="00E209E9" w:rsidRPr="0006020B" w:rsidTr="00CA781E">
        <w:trPr>
          <w:trHeight w:val="1770"/>
        </w:trPr>
        <w:tc>
          <w:tcPr>
            <w:tcW w:w="4172" w:type="dxa"/>
          </w:tcPr>
          <w:p w:rsidR="00E209E9" w:rsidRDefault="00E209E9" w:rsidP="00CA781E">
            <w:pPr>
              <w:spacing w:after="0" w:line="240" w:lineRule="auto"/>
              <w:jc w:val="both"/>
            </w:pPr>
            <w:r>
              <w:rPr>
                <w:rFonts w:ascii="Verdana" w:hAnsi="Verdana"/>
                <w:color w:val="222222"/>
                <w:sz w:val="20"/>
                <w:szCs w:val="20"/>
              </w:rPr>
              <w:lastRenderedPageBreak/>
              <w:br w:type="page"/>
            </w:r>
            <w:r>
              <w:rPr>
                <w:rFonts w:ascii="Verdana" w:hAnsi="Verdana"/>
                <w:color w:val="222222"/>
                <w:sz w:val="20"/>
                <w:szCs w:val="20"/>
              </w:rPr>
              <w:br w:type="page"/>
            </w:r>
            <w:r>
              <w:rPr>
                <w:noProof/>
              </w:rPr>
              <w:pict>
                <v:shape id="_x0000_i1033" type="#_x0000_t75" style="width:141.6pt;height:54pt;visibility:visible">
                  <v:imagedata r:id="rId6" o:title="logo_MARIQUITO (2)"/>
                </v:shape>
              </w:pict>
            </w:r>
          </w:p>
          <w:p w:rsidR="00E209E9" w:rsidRPr="0006020B" w:rsidRDefault="00E209E9" w:rsidP="00CA781E">
            <w:pPr>
              <w:spacing w:after="0" w:line="240" w:lineRule="auto"/>
              <w:jc w:val="both"/>
              <w:rPr>
                <w:rFonts w:ascii="Verdana" w:hAnsi="Verdana"/>
              </w:rPr>
            </w:pPr>
            <w:r w:rsidRPr="000C3735">
              <w:rPr>
                <w:noProof/>
                <w:lang w:eastAsia="pt-PT"/>
              </w:rPr>
              <w:pict>
                <v:line id="_x0000_s1048" style="position:absolute;left:0;text-align:left;z-index:251671552" from="-6.75pt,11.55pt" to="416.25pt,11.55pt" strokecolor="#c55f00" strokeweight="4pt"/>
              </w:pict>
            </w:r>
          </w:p>
        </w:tc>
        <w:tc>
          <w:tcPr>
            <w:tcW w:w="4172" w:type="dxa"/>
          </w:tcPr>
          <w:p w:rsidR="00E209E9" w:rsidRPr="0006020B" w:rsidRDefault="00E209E9" w:rsidP="00CA781E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  <w:p w:rsidR="00E209E9" w:rsidRPr="0006020B" w:rsidRDefault="00E209E9" w:rsidP="00CA781E">
            <w:pPr>
              <w:spacing w:after="0" w:line="240" w:lineRule="auto"/>
              <w:jc w:val="right"/>
              <w:rPr>
                <w:rFonts w:ascii="Arial Black" w:hAnsi="Arial Black"/>
                <w:b/>
                <w:sz w:val="24"/>
                <w:szCs w:val="24"/>
              </w:rPr>
            </w:pPr>
            <w:proofErr w:type="gramStart"/>
            <w:r w:rsidRPr="0006020B">
              <w:rPr>
                <w:rFonts w:ascii="Arial Black" w:hAnsi="Arial Black"/>
                <w:b/>
                <w:sz w:val="24"/>
                <w:szCs w:val="24"/>
              </w:rPr>
              <w:t>Newsletter</w:t>
            </w:r>
            <w:proofErr w:type="gramEnd"/>
            <w:r w:rsidRPr="0006020B">
              <w:rPr>
                <w:rFonts w:ascii="Arial Black" w:hAnsi="Arial Black"/>
                <w:b/>
                <w:sz w:val="24"/>
                <w:szCs w:val="24"/>
              </w:rPr>
              <w:t xml:space="preserve"> </w:t>
            </w:r>
            <w:r>
              <w:rPr>
                <w:rFonts w:ascii="Arial Black" w:hAnsi="Arial Black"/>
                <w:b/>
                <w:sz w:val="24"/>
                <w:szCs w:val="24"/>
              </w:rPr>
              <w:t>03</w:t>
            </w:r>
            <w:r w:rsidRPr="0006020B">
              <w:rPr>
                <w:rFonts w:ascii="Arial Black" w:hAnsi="Arial Black"/>
                <w:b/>
                <w:sz w:val="24"/>
                <w:szCs w:val="24"/>
              </w:rPr>
              <w:t>/20</w:t>
            </w:r>
            <w:r>
              <w:rPr>
                <w:rFonts w:ascii="Arial Black" w:hAnsi="Arial Black"/>
                <w:b/>
                <w:sz w:val="24"/>
                <w:szCs w:val="24"/>
              </w:rPr>
              <w:t>15</w:t>
            </w:r>
          </w:p>
          <w:p w:rsidR="00E209E9" w:rsidRPr="0006020B" w:rsidRDefault="00E209E9" w:rsidP="00CA781E">
            <w:pPr>
              <w:spacing w:after="0" w:line="240" w:lineRule="auto"/>
              <w:jc w:val="right"/>
              <w:rPr>
                <w:rFonts w:ascii="Verdana" w:hAnsi="Verdana"/>
              </w:rPr>
            </w:pPr>
            <w:proofErr w:type="gramStart"/>
            <w:r>
              <w:rPr>
                <w:rFonts w:ascii="Arial Black" w:hAnsi="Arial Black"/>
                <w:b/>
                <w:sz w:val="24"/>
                <w:szCs w:val="24"/>
              </w:rPr>
              <w:t>março</w:t>
            </w:r>
            <w:proofErr w:type="gramEnd"/>
            <w:r>
              <w:rPr>
                <w:rFonts w:ascii="Arial Black" w:hAnsi="Arial Black"/>
                <w:b/>
                <w:sz w:val="24"/>
                <w:szCs w:val="24"/>
              </w:rPr>
              <w:t xml:space="preserve"> de 2015</w:t>
            </w:r>
          </w:p>
        </w:tc>
        <w:tc>
          <w:tcPr>
            <w:tcW w:w="4172" w:type="dxa"/>
          </w:tcPr>
          <w:p w:rsidR="00E209E9" w:rsidRPr="0006020B" w:rsidRDefault="00E209E9" w:rsidP="00CA781E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  <w:tc>
          <w:tcPr>
            <w:tcW w:w="4172" w:type="dxa"/>
          </w:tcPr>
          <w:p w:rsidR="00E209E9" w:rsidRPr="0006020B" w:rsidRDefault="00E209E9" w:rsidP="00CA781E">
            <w:pPr>
              <w:spacing w:after="0" w:line="240" w:lineRule="auto"/>
              <w:jc w:val="both"/>
              <w:rPr>
                <w:rFonts w:ascii="Verdana" w:hAnsi="Verdana"/>
              </w:rPr>
            </w:pPr>
          </w:p>
        </w:tc>
      </w:tr>
    </w:tbl>
    <w:p w:rsidR="00E209E9" w:rsidRPr="00791824" w:rsidRDefault="00E209E9" w:rsidP="00E209E9">
      <w:pPr>
        <w:pStyle w:val="PargrafodaLista"/>
        <w:spacing w:line="360" w:lineRule="auto"/>
        <w:ind w:left="3402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JURISPRUDÊNCIA</w:t>
      </w:r>
    </w:p>
    <w:p w:rsidR="00E209E9" w:rsidRPr="00E209E9" w:rsidRDefault="00E209E9" w:rsidP="00E209E9">
      <w:pPr>
        <w:pStyle w:val="PargrafodaLista"/>
        <w:spacing w:line="360" w:lineRule="auto"/>
        <w:ind w:left="3402"/>
        <w:jc w:val="both"/>
        <w:rPr>
          <w:rFonts w:ascii="Verdana" w:hAnsi="Verdana" w:cs="Arial"/>
          <w:sz w:val="18"/>
          <w:szCs w:val="18"/>
        </w:rPr>
      </w:pP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Ofício-circulado n.º 20175/2015 - 16/03 – DSIRC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IRC – taxas de derrama lançadas para cobrança em 2015 – período de 2014</w:t>
      </w:r>
      <w:r>
        <w:rPr>
          <w:rFonts w:ascii="Verdana" w:hAnsi="Verdana"/>
          <w:sz w:val="18"/>
          <w:szCs w:val="18"/>
        </w:rPr>
        <w:t>.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b/>
          <w:bCs/>
          <w:sz w:val="18"/>
          <w:szCs w:val="18"/>
        </w:rPr>
        <w:t>Circular n.º 5/2015 - 31/03</w:t>
      </w:r>
    </w:p>
    <w:p w:rsidR="00E209E9" w:rsidRPr="00791824" w:rsidRDefault="00E209E9" w:rsidP="00E209E9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91824">
        <w:rPr>
          <w:rFonts w:ascii="Verdana" w:hAnsi="Verdana"/>
          <w:sz w:val="18"/>
          <w:szCs w:val="18"/>
        </w:rPr>
        <w:t>Regime Especial de Tributação dos Grupos de Sociedades (RETGS).</w:t>
      </w:r>
    </w:p>
    <w:p w:rsidR="00E209E9" w:rsidRDefault="00E209E9" w:rsidP="00E209E9">
      <w:pPr>
        <w:pStyle w:val="PargrafodaLista"/>
        <w:spacing w:line="360" w:lineRule="auto"/>
        <w:ind w:left="3402"/>
        <w:jc w:val="both"/>
        <w:rPr>
          <w:rFonts w:ascii="Verdana" w:hAnsi="Verdana" w:cs="Arial"/>
          <w:b/>
          <w:sz w:val="18"/>
          <w:szCs w:val="18"/>
        </w:rPr>
      </w:pPr>
      <w:r w:rsidRPr="00791824">
        <w:rPr>
          <w:rFonts w:ascii="Verdana" w:hAnsi="Verdana" w:cs="Arial"/>
          <w:b/>
          <w:sz w:val="18"/>
          <w:szCs w:val="18"/>
        </w:rPr>
        <w:t>OUTROS</w:t>
      </w:r>
    </w:p>
    <w:p w:rsidR="00E209E9" w:rsidRPr="00E209E9" w:rsidRDefault="00E209E9" w:rsidP="00E209E9">
      <w:pPr>
        <w:pStyle w:val="PargrafodaLista"/>
        <w:spacing w:line="360" w:lineRule="auto"/>
        <w:ind w:left="3402"/>
        <w:jc w:val="both"/>
        <w:rPr>
          <w:rFonts w:ascii="Verdana" w:hAnsi="Verdana" w:cs="Arial"/>
          <w:sz w:val="18"/>
          <w:szCs w:val="18"/>
        </w:rPr>
      </w:pPr>
    </w:p>
    <w:p w:rsidR="00E209E9" w:rsidRPr="00791824" w:rsidRDefault="00E209E9" w:rsidP="00E209E9">
      <w:pPr>
        <w:pStyle w:val="NormalWeb"/>
        <w:spacing w:before="0" w:beforeAutospacing="0" w:after="0" w:afterAutospacing="0" w:line="360" w:lineRule="auto"/>
        <w:jc w:val="both"/>
        <w:rPr>
          <w:rFonts w:ascii="Verdana" w:hAnsi="Verdana" w:cs="Helvetica"/>
          <w:sz w:val="18"/>
          <w:szCs w:val="18"/>
        </w:rPr>
      </w:pPr>
      <w:r w:rsidRPr="00791824">
        <w:rPr>
          <w:rFonts w:ascii="Verdana" w:hAnsi="Verdana" w:cs="Helvetica"/>
          <w:b/>
          <w:bCs/>
          <w:sz w:val="18"/>
          <w:szCs w:val="18"/>
        </w:rPr>
        <w:t>Despacho n.º 3016-A/2015 - Diário da República n.º 58/2015, 1º Suplemento, Série II de 2015-03-24</w:t>
      </w:r>
    </w:p>
    <w:p w:rsidR="00E209E9" w:rsidRPr="00791824" w:rsidRDefault="00E209E9" w:rsidP="00E209E9">
      <w:pPr>
        <w:pStyle w:val="NormalWeb"/>
        <w:spacing w:before="0" w:beforeAutospacing="0" w:after="0" w:afterAutospacing="0" w:line="360" w:lineRule="auto"/>
        <w:jc w:val="both"/>
        <w:rPr>
          <w:rFonts w:ascii="Verdana" w:hAnsi="Verdana" w:cs="Helvetica"/>
          <w:sz w:val="18"/>
          <w:szCs w:val="18"/>
        </w:rPr>
      </w:pPr>
      <w:r w:rsidRPr="00791824">
        <w:rPr>
          <w:rFonts w:ascii="Verdana" w:hAnsi="Verdana" w:cs="Helvetica"/>
          <w:sz w:val="18"/>
          <w:szCs w:val="18"/>
        </w:rPr>
        <w:t>Ministérios das Finanças e da Saúde - Gabinetes da Secretária de Estado do Tesouro e do Secretário de Estado da Saúde </w:t>
      </w:r>
    </w:p>
    <w:p w:rsidR="00E209E9" w:rsidRPr="00791824" w:rsidRDefault="00E209E9" w:rsidP="00E209E9">
      <w:pPr>
        <w:pStyle w:val="NormalWeb"/>
        <w:spacing w:before="0" w:beforeAutospacing="0" w:after="0" w:afterAutospacing="0" w:line="360" w:lineRule="auto"/>
        <w:jc w:val="both"/>
        <w:rPr>
          <w:rFonts w:ascii="Verdana" w:hAnsi="Verdana" w:cs="Helvetica"/>
          <w:sz w:val="18"/>
          <w:szCs w:val="18"/>
        </w:rPr>
      </w:pPr>
      <w:r w:rsidRPr="00791824">
        <w:rPr>
          <w:rFonts w:ascii="Verdana" w:hAnsi="Verdana" w:cs="Helvetica"/>
          <w:sz w:val="18"/>
          <w:szCs w:val="18"/>
        </w:rPr>
        <w:t>Determina que o cumprimento da obrigação fixada no n.º 1 do Despacho 1507/2014, de 16 de janeiro de 2014, que determina que é aplicável às entidades públicas empresariais da área da saúde o Sistema de Normalização Contabilística, pode ser reportada à apresentação de contas do exercício de 2015</w:t>
      </w:r>
      <w:r>
        <w:rPr>
          <w:rFonts w:ascii="Verdana" w:hAnsi="Verdana" w:cs="Helvetica"/>
          <w:sz w:val="18"/>
          <w:szCs w:val="18"/>
        </w:rPr>
        <w:t>.</w:t>
      </w:r>
    </w:p>
    <w:p w:rsidR="00E209E9" w:rsidRPr="00791824" w:rsidRDefault="00E209E9" w:rsidP="00E209E9">
      <w:pPr>
        <w:jc w:val="both"/>
        <w:rPr>
          <w:rFonts w:ascii="Verdana" w:hAnsi="Verdana"/>
          <w:sz w:val="18"/>
          <w:szCs w:val="18"/>
        </w:rPr>
      </w:pPr>
    </w:p>
    <w:sectPr w:rsidR="00E209E9" w:rsidRPr="00791824" w:rsidSect="00FF701E">
      <w:pgSz w:w="11906" w:h="16838"/>
      <w:pgMar w:top="1417" w:right="1701" w:bottom="1417" w:left="1701" w:header="708" w:footer="708" w:gutter="0"/>
      <w:pgBorders w:offsetFrom="page">
        <w:top w:val="single" w:sz="24" w:space="24" w:color="C55F00"/>
        <w:left w:val="single" w:sz="24" w:space="24" w:color="C55F00"/>
        <w:bottom w:val="single" w:sz="24" w:space="24" w:color="C55F00"/>
        <w:right w:val="single" w:sz="24" w:space="24" w:color="C55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4B52"/>
    <w:multiLevelType w:val="multilevel"/>
    <w:tmpl w:val="848E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334193"/>
    <w:multiLevelType w:val="multilevel"/>
    <w:tmpl w:val="CB2AC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5F4332"/>
    <w:multiLevelType w:val="multilevel"/>
    <w:tmpl w:val="31C4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DC7526"/>
    <w:multiLevelType w:val="multilevel"/>
    <w:tmpl w:val="250A5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9D32C1"/>
    <w:multiLevelType w:val="multilevel"/>
    <w:tmpl w:val="8E88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40ADD"/>
    <w:multiLevelType w:val="multilevel"/>
    <w:tmpl w:val="FAB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1830A4"/>
    <w:multiLevelType w:val="multilevel"/>
    <w:tmpl w:val="8312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1B6B33"/>
    <w:multiLevelType w:val="multilevel"/>
    <w:tmpl w:val="B9C8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E0F6B6A"/>
    <w:multiLevelType w:val="multilevel"/>
    <w:tmpl w:val="3B98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24F7ADE"/>
    <w:multiLevelType w:val="multilevel"/>
    <w:tmpl w:val="C964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BC78CC"/>
    <w:multiLevelType w:val="multilevel"/>
    <w:tmpl w:val="092A1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C963FB1"/>
    <w:multiLevelType w:val="multilevel"/>
    <w:tmpl w:val="4750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6B4748"/>
    <w:multiLevelType w:val="multilevel"/>
    <w:tmpl w:val="D42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7A87949"/>
    <w:multiLevelType w:val="multilevel"/>
    <w:tmpl w:val="4C9E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1B0A79"/>
    <w:multiLevelType w:val="multilevel"/>
    <w:tmpl w:val="FA1E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417D9D"/>
    <w:multiLevelType w:val="multilevel"/>
    <w:tmpl w:val="6B16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DD5565E"/>
    <w:multiLevelType w:val="multilevel"/>
    <w:tmpl w:val="1AE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FB67A70"/>
    <w:multiLevelType w:val="multilevel"/>
    <w:tmpl w:val="F6AE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8EC4364"/>
    <w:multiLevelType w:val="multilevel"/>
    <w:tmpl w:val="22BC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A1D02E2"/>
    <w:multiLevelType w:val="multilevel"/>
    <w:tmpl w:val="90E6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CDD0C7C"/>
    <w:multiLevelType w:val="multilevel"/>
    <w:tmpl w:val="2110B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5A7D30"/>
    <w:multiLevelType w:val="multilevel"/>
    <w:tmpl w:val="B9FA1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57F4250"/>
    <w:multiLevelType w:val="multilevel"/>
    <w:tmpl w:val="70A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BE0761"/>
    <w:multiLevelType w:val="multilevel"/>
    <w:tmpl w:val="9146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F8827EF"/>
    <w:multiLevelType w:val="multilevel"/>
    <w:tmpl w:val="87DC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3981CE1"/>
    <w:multiLevelType w:val="multilevel"/>
    <w:tmpl w:val="4E52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AB6505"/>
    <w:multiLevelType w:val="multilevel"/>
    <w:tmpl w:val="9FE8F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CB26E6"/>
    <w:multiLevelType w:val="multilevel"/>
    <w:tmpl w:val="E1FC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5DF7999"/>
    <w:multiLevelType w:val="multilevel"/>
    <w:tmpl w:val="8752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CFE21F4"/>
    <w:multiLevelType w:val="multilevel"/>
    <w:tmpl w:val="7A741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05A7BB7"/>
    <w:multiLevelType w:val="multilevel"/>
    <w:tmpl w:val="D49E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78B68F4"/>
    <w:multiLevelType w:val="multilevel"/>
    <w:tmpl w:val="3E9C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8E11F98"/>
    <w:multiLevelType w:val="multilevel"/>
    <w:tmpl w:val="9EEE8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A7340B"/>
    <w:multiLevelType w:val="multilevel"/>
    <w:tmpl w:val="A45C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C2F696A"/>
    <w:multiLevelType w:val="multilevel"/>
    <w:tmpl w:val="B7CE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5"/>
  </w:num>
  <w:num w:numId="3">
    <w:abstractNumId w:val="2"/>
  </w:num>
  <w:num w:numId="4">
    <w:abstractNumId w:val="34"/>
  </w:num>
  <w:num w:numId="5">
    <w:abstractNumId w:val="32"/>
  </w:num>
  <w:num w:numId="6">
    <w:abstractNumId w:val="6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"/>
  </w:num>
  <w:num w:numId="15">
    <w:abstractNumId w:val="5"/>
  </w:num>
  <w:num w:numId="16">
    <w:abstractNumId w:val="29"/>
  </w:num>
  <w:num w:numId="17">
    <w:abstractNumId w:val="0"/>
  </w:num>
  <w:num w:numId="18">
    <w:abstractNumId w:val="30"/>
  </w:num>
  <w:num w:numId="19">
    <w:abstractNumId w:val="27"/>
  </w:num>
  <w:num w:numId="20">
    <w:abstractNumId w:val="17"/>
  </w:num>
  <w:num w:numId="21">
    <w:abstractNumId w:val="31"/>
  </w:num>
  <w:num w:numId="22">
    <w:abstractNumId w:val="12"/>
  </w:num>
  <w:num w:numId="23">
    <w:abstractNumId w:val="13"/>
  </w:num>
  <w:num w:numId="24">
    <w:abstractNumId w:val="1"/>
  </w:num>
  <w:num w:numId="25">
    <w:abstractNumId w:val="24"/>
  </w:num>
  <w:num w:numId="26">
    <w:abstractNumId w:val="16"/>
  </w:num>
  <w:num w:numId="27">
    <w:abstractNumId w:val="21"/>
  </w:num>
  <w:num w:numId="28">
    <w:abstractNumId w:val="7"/>
  </w:num>
  <w:num w:numId="29">
    <w:abstractNumId w:val="8"/>
  </w:num>
  <w:num w:numId="30">
    <w:abstractNumId w:val="19"/>
  </w:num>
  <w:num w:numId="31">
    <w:abstractNumId w:val="10"/>
  </w:num>
  <w:num w:numId="32">
    <w:abstractNumId w:val="33"/>
  </w:num>
  <w:num w:numId="33">
    <w:abstractNumId w:val="23"/>
  </w:num>
  <w:num w:numId="34">
    <w:abstractNumId w:val="11"/>
  </w:num>
  <w:num w:numId="35">
    <w:abstractNumId w:val="2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C5B"/>
    <w:rsid w:val="00013612"/>
    <w:rsid w:val="0004043E"/>
    <w:rsid w:val="000532D5"/>
    <w:rsid w:val="0006020B"/>
    <w:rsid w:val="000A48F8"/>
    <w:rsid w:val="000C3368"/>
    <w:rsid w:val="000C3735"/>
    <w:rsid w:val="000D7D41"/>
    <w:rsid w:val="001071EE"/>
    <w:rsid w:val="00132CBC"/>
    <w:rsid w:val="00135093"/>
    <w:rsid w:val="001571A0"/>
    <w:rsid w:val="00175497"/>
    <w:rsid w:val="001757C8"/>
    <w:rsid w:val="00181AA7"/>
    <w:rsid w:val="00187511"/>
    <w:rsid w:val="001B54C5"/>
    <w:rsid w:val="001E4770"/>
    <w:rsid w:val="001F2267"/>
    <w:rsid w:val="002007A8"/>
    <w:rsid w:val="00203627"/>
    <w:rsid w:val="00206FE7"/>
    <w:rsid w:val="00222A48"/>
    <w:rsid w:val="00234E63"/>
    <w:rsid w:val="002931F1"/>
    <w:rsid w:val="002A2E12"/>
    <w:rsid w:val="002B4746"/>
    <w:rsid w:val="002B4ED0"/>
    <w:rsid w:val="002C2983"/>
    <w:rsid w:val="00310A40"/>
    <w:rsid w:val="003231B5"/>
    <w:rsid w:val="00337AE8"/>
    <w:rsid w:val="003457D8"/>
    <w:rsid w:val="003C08BF"/>
    <w:rsid w:val="003D36DE"/>
    <w:rsid w:val="003E51AC"/>
    <w:rsid w:val="003E5758"/>
    <w:rsid w:val="00415D0D"/>
    <w:rsid w:val="00454CEC"/>
    <w:rsid w:val="00477C5B"/>
    <w:rsid w:val="004B12F5"/>
    <w:rsid w:val="004F7239"/>
    <w:rsid w:val="00554F4D"/>
    <w:rsid w:val="0059022E"/>
    <w:rsid w:val="0059192E"/>
    <w:rsid w:val="005A3EE6"/>
    <w:rsid w:val="005A661D"/>
    <w:rsid w:val="005C61BF"/>
    <w:rsid w:val="005D2D26"/>
    <w:rsid w:val="005E63D6"/>
    <w:rsid w:val="005F3FB3"/>
    <w:rsid w:val="006370C5"/>
    <w:rsid w:val="0066478E"/>
    <w:rsid w:val="00664FBD"/>
    <w:rsid w:val="00673CF0"/>
    <w:rsid w:val="006947A4"/>
    <w:rsid w:val="006B03AF"/>
    <w:rsid w:val="006B3651"/>
    <w:rsid w:val="006D60BB"/>
    <w:rsid w:val="006F3519"/>
    <w:rsid w:val="006F737D"/>
    <w:rsid w:val="007027BC"/>
    <w:rsid w:val="00716779"/>
    <w:rsid w:val="00717A47"/>
    <w:rsid w:val="007219E7"/>
    <w:rsid w:val="007272A5"/>
    <w:rsid w:val="00731CC8"/>
    <w:rsid w:val="00756AB2"/>
    <w:rsid w:val="007738EA"/>
    <w:rsid w:val="00794E87"/>
    <w:rsid w:val="00803537"/>
    <w:rsid w:val="0081637E"/>
    <w:rsid w:val="008219EE"/>
    <w:rsid w:val="00822FB5"/>
    <w:rsid w:val="00853BFE"/>
    <w:rsid w:val="00856557"/>
    <w:rsid w:val="0086134D"/>
    <w:rsid w:val="008904CB"/>
    <w:rsid w:val="008A4913"/>
    <w:rsid w:val="008A57AD"/>
    <w:rsid w:val="008A7D80"/>
    <w:rsid w:val="008D48CF"/>
    <w:rsid w:val="008D6D7D"/>
    <w:rsid w:val="008F2882"/>
    <w:rsid w:val="00907D90"/>
    <w:rsid w:val="00910A57"/>
    <w:rsid w:val="00965CEA"/>
    <w:rsid w:val="00996DA0"/>
    <w:rsid w:val="009C1DA8"/>
    <w:rsid w:val="009C3B6B"/>
    <w:rsid w:val="009F6612"/>
    <w:rsid w:val="00A02276"/>
    <w:rsid w:val="00A029B1"/>
    <w:rsid w:val="00A14FF1"/>
    <w:rsid w:val="00A30BFA"/>
    <w:rsid w:val="00A37572"/>
    <w:rsid w:val="00A4155B"/>
    <w:rsid w:val="00A662AA"/>
    <w:rsid w:val="00AC0C06"/>
    <w:rsid w:val="00AD4C94"/>
    <w:rsid w:val="00AF255B"/>
    <w:rsid w:val="00B22062"/>
    <w:rsid w:val="00B378C9"/>
    <w:rsid w:val="00B530E0"/>
    <w:rsid w:val="00B5707E"/>
    <w:rsid w:val="00B74153"/>
    <w:rsid w:val="00BB02C8"/>
    <w:rsid w:val="00BF4BF4"/>
    <w:rsid w:val="00C15FFC"/>
    <w:rsid w:val="00C239D1"/>
    <w:rsid w:val="00C24D4D"/>
    <w:rsid w:val="00C5068B"/>
    <w:rsid w:val="00C62194"/>
    <w:rsid w:val="00CC0B8C"/>
    <w:rsid w:val="00CD11A2"/>
    <w:rsid w:val="00CE1367"/>
    <w:rsid w:val="00CE1ACB"/>
    <w:rsid w:val="00CF4C41"/>
    <w:rsid w:val="00D04697"/>
    <w:rsid w:val="00D0472D"/>
    <w:rsid w:val="00D41F4B"/>
    <w:rsid w:val="00D4437D"/>
    <w:rsid w:val="00D6279A"/>
    <w:rsid w:val="00D706CF"/>
    <w:rsid w:val="00D85D28"/>
    <w:rsid w:val="00DA5437"/>
    <w:rsid w:val="00DC679A"/>
    <w:rsid w:val="00DE015F"/>
    <w:rsid w:val="00DE58BB"/>
    <w:rsid w:val="00E01F5C"/>
    <w:rsid w:val="00E05CB9"/>
    <w:rsid w:val="00E15906"/>
    <w:rsid w:val="00E209E9"/>
    <w:rsid w:val="00E35ECD"/>
    <w:rsid w:val="00E41E06"/>
    <w:rsid w:val="00E5099A"/>
    <w:rsid w:val="00E542CA"/>
    <w:rsid w:val="00E93B91"/>
    <w:rsid w:val="00EE285F"/>
    <w:rsid w:val="00EE767B"/>
    <w:rsid w:val="00F127A3"/>
    <w:rsid w:val="00F12C86"/>
    <w:rsid w:val="00F30C3E"/>
    <w:rsid w:val="00F42064"/>
    <w:rsid w:val="00F60D5E"/>
    <w:rsid w:val="00F85EE2"/>
    <w:rsid w:val="00FA643C"/>
    <w:rsid w:val="00FE4DD6"/>
    <w:rsid w:val="00FF7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Acronym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153"/>
    <w:pPr>
      <w:spacing w:after="200" w:line="276" w:lineRule="auto"/>
    </w:pPr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rsid w:val="00477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477C5B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99"/>
    <w:rsid w:val="00477C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rnimoHTML">
    <w:name w:val="HTML Acronym"/>
    <w:basedOn w:val="Tipodeletrapredefinidodopargrafo"/>
    <w:uiPriority w:val="99"/>
    <w:rsid w:val="00996DA0"/>
    <w:rPr>
      <w:rFonts w:cs="Times New Roman"/>
    </w:rPr>
  </w:style>
  <w:style w:type="paragraph" w:customStyle="1" w:styleId="bold1">
    <w:name w:val="bold1"/>
    <w:basedOn w:val="Normal"/>
    <w:uiPriority w:val="99"/>
    <w:rsid w:val="00996DA0"/>
    <w:pPr>
      <w:spacing w:after="3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pt-PT"/>
    </w:rPr>
  </w:style>
  <w:style w:type="character" w:customStyle="1" w:styleId="font-bold">
    <w:name w:val="font-bold"/>
    <w:basedOn w:val="Tipodeletrapredefinidodopargrafo"/>
    <w:uiPriority w:val="99"/>
    <w:rsid w:val="00996DA0"/>
    <w:rPr>
      <w:rFonts w:cs="Times New Roman"/>
    </w:rPr>
  </w:style>
  <w:style w:type="character" w:styleId="Hiperligao">
    <w:name w:val="Hyperlink"/>
    <w:basedOn w:val="Tipodeletrapredefinidodopargrafo"/>
    <w:uiPriority w:val="99"/>
    <w:rsid w:val="00996DA0"/>
    <w:rPr>
      <w:rFonts w:cs="Times New Roman"/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996DA0"/>
    <w:rPr>
      <w:rFonts w:cs="Times New Roman"/>
      <w:b/>
      <w:bCs/>
    </w:rPr>
  </w:style>
  <w:style w:type="paragraph" w:customStyle="1" w:styleId="Default">
    <w:name w:val="Default"/>
    <w:uiPriority w:val="99"/>
    <w:rsid w:val="003C08BF"/>
    <w:pPr>
      <w:autoSpaceDE w:val="0"/>
      <w:autoSpaceDN w:val="0"/>
      <w:adjustRightInd w:val="0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CC0B8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D70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rgba">
    <w:name w:val="rgba"/>
    <w:basedOn w:val="Tipodeletrapredefinidodopargrafo"/>
    <w:rsid w:val="00DE58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e.pt/application/file/66663760" TargetMode="External"/><Relationship Id="rId13" Type="http://schemas.openxmlformats.org/officeDocument/2006/relationships/hyperlink" Target="https://dre.pt/application/external/eurolex?13R0346" TargetMode="External"/><Relationship Id="rId18" Type="http://schemas.openxmlformats.org/officeDocument/2006/relationships/hyperlink" Target="https://dre.pt/web/guest/pesquisa/-/search/571194/details/normal?l=1" TargetMode="External"/><Relationship Id="rId26" Type="http://schemas.openxmlformats.org/officeDocument/2006/relationships/hyperlink" Target="https://dre.pt/application/file/66896373" TargetMode="External"/><Relationship Id="rId39" Type="http://schemas.openxmlformats.org/officeDocument/2006/relationships/hyperlink" Target="https://dre.pt/application/file/66639422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e.pt/web/guest/pesquisa/-/search/66397917/details/normal?l=1" TargetMode="External"/><Relationship Id="rId34" Type="http://schemas.openxmlformats.org/officeDocument/2006/relationships/hyperlink" Target="https://dre.pt/web/guest/pesquisa/-/search/444391/details/normal?l=1" TargetMode="External"/><Relationship Id="rId42" Type="http://schemas.openxmlformats.org/officeDocument/2006/relationships/hyperlink" Target="https://dre.pt/application/file/66818282" TargetMode="External"/><Relationship Id="rId7" Type="http://schemas.openxmlformats.org/officeDocument/2006/relationships/hyperlink" Target="https://dre.pt/application/file/66663758" TargetMode="External"/><Relationship Id="rId12" Type="http://schemas.openxmlformats.org/officeDocument/2006/relationships/hyperlink" Target="https://dre.pt/application/external/eurolex?13R0345" TargetMode="External"/><Relationship Id="rId17" Type="http://schemas.openxmlformats.org/officeDocument/2006/relationships/hyperlink" Target="https://dre.pt/web/guest/pesquisa/-/search/620928/details/normal?l=1" TargetMode="External"/><Relationship Id="rId25" Type="http://schemas.openxmlformats.org/officeDocument/2006/relationships/hyperlink" Target="https://dre.pt/application/file/66857539" TargetMode="External"/><Relationship Id="rId33" Type="http://schemas.openxmlformats.org/officeDocument/2006/relationships/hyperlink" Target="https://dre.pt/web/guest/pesquisa/-/search/545785/details/normal?l=1" TargetMode="External"/><Relationship Id="rId38" Type="http://schemas.openxmlformats.org/officeDocument/2006/relationships/hyperlink" Target="https://dre.pt/web/guest/pesquisa/-/search/542996/details/normal?l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re.pt/web/guest/pesquisa/-/search/164404/details/normal?l=1" TargetMode="External"/><Relationship Id="rId20" Type="http://schemas.openxmlformats.org/officeDocument/2006/relationships/hyperlink" Target="https://dre.pt/application/file/66675018" TargetMode="External"/><Relationship Id="rId29" Type="http://schemas.openxmlformats.org/officeDocument/2006/relationships/hyperlink" Target="https://dre.pt/application/file/66869077" TargetMode="External"/><Relationship Id="rId41" Type="http://schemas.openxmlformats.org/officeDocument/2006/relationships/hyperlink" Target="https://dre.pt/application/file/66818281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dre.pt/application/external/eurolex?13L0014" TargetMode="External"/><Relationship Id="rId24" Type="http://schemas.openxmlformats.org/officeDocument/2006/relationships/hyperlink" Target="https://dre.pt/application/file/66763012" TargetMode="External"/><Relationship Id="rId32" Type="http://schemas.openxmlformats.org/officeDocument/2006/relationships/hyperlink" Target="https://dre.pt/web/guest/pesquisa/-/search/223423/details/normal?l=1" TargetMode="External"/><Relationship Id="rId37" Type="http://schemas.openxmlformats.org/officeDocument/2006/relationships/hyperlink" Target="https://dre.pt/application/file/66773532" TargetMode="External"/><Relationship Id="rId40" Type="http://schemas.openxmlformats.org/officeDocument/2006/relationships/hyperlink" Target="https://dre.pt/application/file/666394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re.pt/web/guest/pesquisa/-/search/66145328/details/normal?l=1" TargetMode="External"/><Relationship Id="rId23" Type="http://schemas.openxmlformats.org/officeDocument/2006/relationships/hyperlink" Target="https://dre.pt/application/file/66696273" TargetMode="External"/><Relationship Id="rId28" Type="http://schemas.openxmlformats.org/officeDocument/2006/relationships/hyperlink" Target="https://dre.pt/web/guest/pesquisa/-/search/164404/details/normal?l=1" TargetMode="External"/><Relationship Id="rId36" Type="http://schemas.openxmlformats.org/officeDocument/2006/relationships/hyperlink" Target="https://dre.pt/web/guest/pesquisa/-/search/500023/details/normal?l=1" TargetMode="External"/><Relationship Id="rId10" Type="http://schemas.openxmlformats.org/officeDocument/2006/relationships/hyperlink" Target="https://dre.pt/application/external/eurolex?11L0061" TargetMode="External"/><Relationship Id="rId19" Type="http://schemas.openxmlformats.org/officeDocument/2006/relationships/hyperlink" Target="https://dre.pt/web/guest/pesquisa/-/search/243747/details/normal?l=1" TargetMode="External"/><Relationship Id="rId31" Type="http://schemas.openxmlformats.org/officeDocument/2006/relationships/hyperlink" Target="https://dre.pt/application/external/eurolex?14L0059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re.pt/application/file/66651924" TargetMode="External"/><Relationship Id="rId14" Type="http://schemas.openxmlformats.org/officeDocument/2006/relationships/hyperlink" Target="https://dre.pt/application/file/66696272" TargetMode="External"/><Relationship Id="rId22" Type="http://schemas.openxmlformats.org/officeDocument/2006/relationships/hyperlink" Target="https://dre.pt/application/file/66696175" TargetMode="External"/><Relationship Id="rId27" Type="http://schemas.openxmlformats.org/officeDocument/2006/relationships/hyperlink" Target="https://dre.pt/application/file/66702042" TargetMode="External"/><Relationship Id="rId30" Type="http://schemas.openxmlformats.org/officeDocument/2006/relationships/hyperlink" Target="https://dre.pt/application/external/eurolex?14L0049" TargetMode="External"/><Relationship Id="rId35" Type="http://schemas.openxmlformats.org/officeDocument/2006/relationships/hyperlink" Target="https://dre.pt/application/file/6686910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74E4E-F42F-4EE8-8137-DA986D3A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1310</Words>
  <Characters>11159</Characters>
  <Application>Microsoft Office Word</Application>
  <DocSecurity>0</DocSecurity>
  <Lines>92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LRibeiro</dc:creator>
  <cp:keywords/>
  <dc:description/>
  <cp:lastModifiedBy>Luísa Ribeiro</cp:lastModifiedBy>
  <cp:revision>65</cp:revision>
  <dcterms:created xsi:type="dcterms:W3CDTF">2009-02-03T15:14:00Z</dcterms:created>
  <dcterms:modified xsi:type="dcterms:W3CDTF">2015-04-09T15:40:00Z</dcterms:modified>
</cp:coreProperties>
</file>