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172"/>
        <w:gridCol w:w="4172"/>
      </w:tblGrid>
      <w:tr w:rsidR="00234E63" w:rsidRPr="0006020B" w:rsidTr="00FF701E">
        <w:trPr>
          <w:trHeight w:val="1770"/>
        </w:trPr>
        <w:tc>
          <w:tcPr>
            <w:tcW w:w="4172" w:type="dxa"/>
          </w:tcPr>
          <w:p w:rsidR="00234E63" w:rsidRDefault="007738EA" w:rsidP="008A57AD">
            <w:pPr>
              <w:spacing w:after="0" w:line="240" w:lineRule="auto"/>
              <w:jc w:val="both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8pt;height:54pt;visibility:visible">
                  <v:imagedata r:id="rId6" o:title="logo_MARIQUITO (2)"/>
                </v:shape>
              </w:pict>
            </w:r>
          </w:p>
          <w:p w:rsidR="00234E63" w:rsidRPr="0006020B" w:rsidRDefault="007738EA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7738EA">
              <w:rPr>
                <w:noProof/>
                <w:lang w:eastAsia="pt-PT"/>
              </w:rPr>
              <w:pict>
                <v:line id="_x0000_s1026" style="position:absolute;left:0;text-align:left;z-index:251658240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234E63" w:rsidRPr="0006020B" w:rsidRDefault="00234E63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234E63" w:rsidRPr="0006020B" w:rsidRDefault="00234E63" w:rsidP="008A57AD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 w:rsidR="00664FBD">
              <w:rPr>
                <w:rFonts w:ascii="Arial Black" w:hAnsi="Arial Black"/>
                <w:b/>
                <w:sz w:val="24"/>
                <w:szCs w:val="24"/>
              </w:rPr>
              <w:t>0</w:t>
            </w:r>
            <w:r w:rsidR="00A30BFA">
              <w:rPr>
                <w:rFonts w:ascii="Arial Black" w:hAnsi="Arial Black"/>
                <w:b/>
                <w:sz w:val="24"/>
                <w:szCs w:val="24"/>
              </w:rPr>
              <w:t>2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 w:rsidR="00EE767B">
              <w:rPr>
                <w:rFonts w:ascii="Arial Black" w:hAnsi="Arial Black"/>
                <w:b/>
                <w:sz w:val="24"/>
                <w:szCs w:val="24"/>
              </w:rPr>
              <w:t>1</w:t>
            </w:r>
            <w:r w:rsidR="00DE58BB">
              <w:rPr>
                <w:rFonts w:ascii="Arial Black" w:hAnsi="Arial Black"/>
                <w:b/>
                <w:sz w:val="24"/>
                <w:szCs w:val="24"/>
              </w:rPr>
              <w:t>5</w:t>
            </w:r>
          </w:p>
          <w:p w:rsidR="00234E63" w:rsidRPr="0006020B" w:rsidRDefault="00A30BFA" w:rsidP="00664FBD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fevere</w:t>
            </w:r>
            <w:r w:rsidR="00DE58BB">
              <w:rPr>
                <w:rFonts w:ascii="Arial Black" w:hAnsi="Arial Black"/>
                <w:b/>
                <w:sz w:val="24"/>
                <w:szCs w:val="24"/>
              </w:rPr>
              <w:t>iro</w:t>
            </w:r>
            <w:proofErr w:type="gramEnd"/>
            <w:r w:rsidR="00234E63">
              <w:rPr>
                <w:rFonts w:ascii="Arial Black" w:hAnsi="Arial Black"/>
                <w:b/>
                <w:sz w:val="24"/>
                <w:szCs w:val="24"/>
              </w:rPr>
              <w:t xml:space="preserve"> de 201</w:t>
            </w:r>
            <w:r w:rsidR="00DE58BB">
              <w:rPr>
                <w:rFonts w:ascii="Arial Black" w:hAnsi="Arial Black"/>
                <w:b/>
                <w:sz w:val="24"/>
                <w:szCs w:val="24"/>
              </w:rPr>
              <w:t>5</w:t>
            </w:r>
          </w:p>
        </w:tc>
      </w:tr>
    </w:tbl>
    <w:p w:rsidR="00222A48" w:rsidRPr="002F42B2" w:rsidRDefault="00222A48" w:rsidP="00222A48">
      <w:pPr>
        <w:ind w:left="3240"/>
        <w:jc w:val="both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 w:cs="Arial"/>
          <w:b/>
          <w:sz w:val="18"/>
          <w:szCs w:val="18"/>
        </w:rPr>
        <w:t>Legislação fiscal</w:t>
      </w:r>
    </w:p>
    <w:p w:rsidR="00222A48" w:rsidRPr="009B0D02" w:rsidRDefault="00222A48" w:rsidP="00222A48">
      <w:pPr>
        <w:ind w:left="3240"/>
        <w:jc w:val="both"/>
        <w:rPr>
          <w:rFonts w:ascii="Verdana" w:hAnsi="Verdana" w:cs="Arial"/>
          <w:sz w:val="18"/>
          <w:szCs w:val="18"/>
        </w:rPr>
      </w:pPr>
    </w:p>
    <w:p w:rsidR="00222A48" w:rsidRPr="009B0D0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sz w:val="18"/>
          <w:szCs w:val="18"/>
        </w:rPr>
        <w:t>Orçamento do Estado para 2015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7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Declaração de Retificação n.º 5/2015 - Diário da República n.º 40/2015, Série I de 2015-02-26</w:t>
        </w:r>
      </w:hyperlink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Assembleia da República Declaração de retificação à </w:t>
      </w:r>
      <w:hyperlink r:id="rId8" w:tgtFrame="_blank" w:tooltip="Lei n.º 82-B/2014" w:history="1">
        <w:r w:rsidRPr="002F42B2">
          <w:rPr>
            <w:rStyle w:val="Hiperligao"/>
            <w:rFonts w:ascii="Verdana" w:hAnsi="Verdana"/>
            <w:sz w:val="18"/>
            <w:szCs w:val="18"/>
          </w:rPr>
          <w:t>Lei n.º 82-B/2014</w:t>
        </w:r>
      </w:hyperlink>
      <w:r w:rsidRPr="002F42B2">
        <w:rPr>
          <w:rFonts w:ascii="Verdana" w:hAnsi="Verdana"/>
          <w:sz w:val="18"/>
          <w:szCs w:val="18"/>
        </w:rPr>
        <w:t>, de 31 de dezembro, Orçamento do Estado para 2015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sz w:val="18"/>
          <w:szCs w:val="18"/>
        </w:rPr>
        <w:t>Fiscalidade ambiental</w:t>
      </w:r>
    </w:p>
    <w:p w:rsidR="00222A48" w:rsidRPr="002F42B2" w:rsidRDefault="00222A48" w:rsidP="00222A48">
      <w:pPr>
        <w:spacing w:after="0"/>
        <w:jc w:val="both"/>
        <w:rPr>
          <w:rFonts w:ascii="Verdana" w:hAnsi="Verdana"/>
          <w:sz w:val="18"/>
          <w:szCs w:val="18"/>
        </w:rPr>
      </w:pPr>
      <w:hyperlink r:id="rId9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Declaração de Retificação n.º 6/2015 - Diário da República n.º 41/2015, Série I de 2015-02-27</w:t>
        </w:r>
      </w:hyperlink>
    </w:p>
    <w:p w:rsidR="00222A48" w:rsidRPr="002F42B2" w:rsidRDefault="00222A48" w:rsidP="00222A48">
      <w:pPr>
        <w:spacing w:after="0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Assembleia da República </w:t>
      </w:r>
    </w:p>
    <w:p w:rsidR="003231B5" w:rsidRDefault="00222A48" w:rsidP="00222A48">
      <w:pPr>
        <w:shd w:val="clear" w:color="auto" w:fill="FFFFFF" w:themeFill="background1"/>
        <w:spacing w:after="0" w:line="312" w:lineRule="auto"/>
        <w:ind w:right="90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Declaração de Retificação à </w:t>
      </w:r>
      <w:hyperlink r:id="rId10" w:tgtFrame="_blank" w:tooltip="Lei n.º 82-D/2014" w:history="1">
        <w:r w:rsidRPr="002F42B2">
          <w:rPr>
            <w:rStyle w:val="Hiperligao"/>
            <w:rFonts w:ascii="Verdana" w:hAnsi="Verdana"/>
            <w:sz w:val="18"/>
            <w:szCs w:val="18"/>
          </w:rPr>
          <w:t>Lei n.º 82-D/2014</w:t>
        </w:r>
      </w:hyperlink>
      <w:r w:rsidRPr="002F42B2">
        <w:rPr>
          <w:rFonts w:ascii="Verdana" w:hAnsi="Verdana"/>
          <w:sz w:val="18"/>
          <w:szCs w:val="18"/>
        </w:rPr>
        <w:t>, de 31 de dezembro, que «Procede à alteração das normas fiscais ambientais nos sectores da energia e emissões, transportes, água, resíduos, ordenamento do território, florestas e biodiversidade, introduzindo ainda um regime de tributação dos sacos de plástico e um regime de incentivo ao abate de veículos em fim de vida, no quadro de uma reforma da fiscalidade ambiental»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222A48">
      <w:pPr>
        <w:jc w:val="both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 w:cs="Arial"/>
          <w:b/>
          <w:sz w:val="18"/>
          <w:szCs w:val="18"/>
        </w:rPr>
        <w:t>IRS - instruções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bCs/>
          <w:sz w:val="18"/>
          <w:szCs w:val="18"/>
        </w:rPr>
        <w:t>Portaria n.º 17-A/2015 - Diário da República n.º 21/2015, 1º Suplemento, Série I de 2015-01-30</w:t>
      </w:r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rPr>
          <w:rFonts w:ascii="Verdana" w:hAnsi="Verdana"/>
          <w:bCs/>
          <w:sz w:val="18"/>
          <w:szCs w:val="18"/>
        </w:rPr>
        <w:t>Ministério das Finanças 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Aprova as instruções de preenchimento da Declaração Mensal de Remunerações - AT, para cumprimento da obrigação declarativa a que se refere a subalínea i) da alínea c), e a alínea d), do n.º 1 do artigo 119.º, do Código do IRS</w:t>
      </w:r>
      <w:r>
        <w:rPr>
          <w:rFonts w:ascii="Verdana" w:hAnsi="Verdana"/>
          <w:sz w:val="18"/>
          <w:szCs w:val="18"/>
        </w:rPr>
        <w:t>.</w:t>
      </w:r>
    </w:p>
    <w:p w:rsidR="00222A48" w:rsidRDefault="00222A48" w:rsidP="00222A48">
      <w:pPr>
        <w:jc w:val="center"/>
        <w:rPr>
          <w:rFonts w:ascii="Verdana" w:hAnsi="Verdana" w:cs="Arial"/>
          <w:b/>
          <w:sz w:val="18"/>
          <w:szCs w:val="18"/>
        </w:rPr>
      </w:pPr>
    </w:p>
    <w:p w:rsidR="00222A48" w:rsidRPr="002F42B2" w:rsidRDefault="00222A48" w:rsidP="00222A48">
      <w:pPr>
        <w:jc w:val="center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 w:cs="Arial"/>
          <w:b/>
          <w:sz w:val="18"/>
          <w:szCs w:val="18"/>
        </w:rPr>
        <w:t>Outra Legislação de interesse económico e financeiro</w:t>
      </w:r>
    </w:p>
    <w:p w:rsidR="00222A48" w:rsidRPr="002F42B2" w:rsidRDefault="00222A48" w:rsidP="00222A48">
      <w:pPr>
        <w:spacing w:after="0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F42B2">
        <w:rPr>
          <w:rFonts w:ascii="Verdana" w:hAnsi="Verdana" w:cs="Tahoma"/>
          <w:b/>
          <w:color w:val="000000"/>
          <w:sz w:val="18"/>
          <w:szCs w:val="18"/>
        </w:rPr>
        <w:t>SIREVE, PER, CSC - alterações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11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Decreto-Lei n.º 26/2015 - Diário da República n.º 26/2015, Série I de 2015-02-06</w:t>
        </w:r>
      </w:hyperlink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Economia 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Promove um enquadramento mais favorável à reestruturação e revitalização de empresas, ao financiamento de longo prazo da atividade produtiva e à emissão de instrumentos híbridos de capitalização, alterando o Sistema de Recuperação de Empresas por via Extrajudicial, o Código da Insolvência e da Recuperação de Empresas e o Código das Sociedades Comerciais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F42B2">
        <w:rPr>
          <w:rFonts w:ascii="Verdana" w:hAnsi="Verdana" w:cs="Tahoma"/>
          <w:b/>
          <w:color w:val="000000"/>
          <w:sz w:val="18"/>
          <w:szCs w:val="18"/>
        </w:rPr>
        <w:t>Municípios – regine de delegação de competências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12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Decreto-Lei n.º 30/2015 - Diário da República n.º 30/2015, Série I de 2015-02-12</w:t>
        </w:r>
      </w:hyperlink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Presidência do Conselho de Ministros </w:t>
      </w:r>
    </w:p>
    <w:p w:rsidR="00222A48" w:rsidRDefault="00222A48" w:rsidP="00222A48">
      <w:pPr>
        <w:jc w:val="both"/>
        <w:rPr>
          <w:rFonts w:ascii="Verdana" w:hAnsi="Verdana"/>
          <w:color w:val="222222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Estabelece o regime de delegação de competências nos municípios e entidades intermunicipais no domínio de funções sociais</w:t>
      </w:r>
      <w:r>
        <w:rPr>
          <w:rFonts w:ascii="Verdana" w:hAnsi="Verdana"/>
          <w:sz w:val="18"/>
          <w:szCs w:val="18"/>
        </w:rPr>
        <w:t>.</w:t>
      </w:r>
    </w:p>
    <w:p w:rsidR="008219EE" w:rsidRDefault="008219EE" w:rsidP="00D706CF">
      <w:pPr>
        <w:jc w:val="both"/>
        <w:sectPr w:rsidR="008219EE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39D1" w:rsidRPr="0006020B" w:rsidTr="007219E7">
        <w:trPr>
          <w:trHeight w:val="1770"/>
        </w:trPr>
        <w:tc>
          <w:tcPr>
            <w:tcW w:w="4172" w:type="dxa"/>
          </w:tcPr>
          <w:p w:rsidR="00C239D1" w:rsidRDefault="00222A48" w:rsidP="008A57AD">
            <w:pPr>
              <w:spacing w:after="0" w:line="240" w:lineRule="auto"/>
              <w:jc w:val="both"/>
            </w:pPr>
            <w:r>
              <w:rPr>
                <w:noProof/>
              </w:rPr>
              <w:lastRenderedPageBreak/>
              <w:pict>
                <v:shape id="_x0000_i1026" type="#_x0000_t75" style="width:141.6pt;height:54pt;visibility:visible">
                  <v:imagedata r:id="rId6" o:title="logo_MARIQUITO (2)"/>
                </v:shape>
              </w:pict>
            </w:r>
          </w:p>
          <w:p w:rsidR="00C239D1" w:rsidRPr="0006020B" w:rsidRDefault="007738EA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7738EA">
              <w:rPr>
                <w:noProof/>
                <w:lang w:eastAsia="pt-PT"/>
              </w:rPr>
              <w:pict>
                <v:line id="_x0000_s1037" style="position:absolute;left:0;text-align:left;z-index:251663360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A30BFA" w:rsidRPr="0006020B" w:rsidRDefault="00A30BFA" w:rsidP="00A30BFA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02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39D1" w:rsidRPr="0006020B" w:rsidRDefault="00A30BFA" w:rsidP="00A30BFA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fevereiro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222A48" w:rsidRPr="002F42B2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F42B2">
        <w:rPr>
          <w:rFonts w:ascii="Verdana" w:hAnsi="Verdana" w:cs="Tahoma"/>
          <w:b/>
          <w:color w:val="000000"/>
          <w:sz w:val="18"/>
          <w:szCs w:val="18"/>
        </w:rPr>
        <w:t>Regime de acesso – gases, combustíveis e outros produtos petrolíferos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13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Lei n.º 15/2015 - Diário da República n.º 32/2015, Série I de 2015-02-16</w:t>
        </w:r>
      </w:hyperlink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rPr>
          <w:rFonts w:ascii="Verdana" w:hAnsi="Verdana"/>
          <w:sz w:val="18"/>
          <w:szCs w:val="18"/>
        </w:rPr>
        <w:t>Assembleia da República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os requisitos de acesso e exercício da atividade das entidades e profissionais que atuam na área dos gases combustíveis, dos combustíveis e de outros produtos petrolíferos, conformando-o com a disciplina da </w:t>
      </w:r>
      <w:hyperlink r:id="rId14" w:tgtFrame="_blank" w:tooltip="Lei n.º 9/2009" w:history="1">
        <w:r w:rsidRPr="002F42B2">
          <w:rPr>
            <w:rStyle w:val="Hiperligao"/>
            <w:rFonts w:ascii="Verdana" w:hAnsi="Verdana"/>
            <w:sz w:val="18"/>
            <w:szCs w:val="18"/>
          </w:rPr>
          <w:t>Lei n.º 9/2009</w:t>
        </w:r>
      </w:hyperlink>
      <w:r w:rsidRPr="002F42B2">
        <w:rPr>
          <w:rFonts w:ascii="Verdana" w:hAnsi="Verdana"/>
          <w:sz w:val="18"/>
          <w:szCs w:val="18"/>
        </w:rPr>
        <w:t xml:space="preserve">, de 4 de março, e do </w:t>
      </w:r>
      <w:hyperlink r:id="rId15" w:tgtFrame="_blank" w:tooltip="Decreto-Lei n.º 92/2010" w:history="1">
        <w:r w:rsidRPr="002F42B2">
          <w:rPr>
            <w:rStyle w:val="Hiperligao"/>
            <w:rFonts w:ascii="Verdana" w:hAnsi="Verdana"/>
            <w:sz w:val="18"/>
            <w:szCs w:val="18"/>
          </w:rPr>
          <w:t>Decreto-Lei n.º 92/2010</w:t>
        </w:r>
      </w:hyperlink>
      <w:r w:rsidRPr="002F42B2">
        <w:rPr>
          <w:rFonts w:ascii="Verdana" w:hAnsi="Verdana"/>
          <w:sz w:val="18"/>
          <w:szCs w:val="18"/>
        </w:rPr>
        <w:t xml:space="preserve">, de 26 de julho, que transpuseram as Diretivas </w:t>
      </w:r>
      <w:proofErr w:type="spellStart"/>
      <w:r w:rsidRPr="002F42B2">
        <w:rPr>
          <w:rFonts w:ascii="Verdana" w:hAnsi="Verdana"/>
          <w:sz w:val="18"/>
          <w:szCs w:val="18"/>
        </w:rPr>
        <w:t>n.os</w:t>
      </w:r>
      <w:proofErr w:type="spellEnd"/>
      <w:r w:rsidRPr="002F42B2">
        <w:rPr>
          <w:rFonts w:ascii="Verdana" w:hAnsi="Verdana"/>
          <w:sz w:val="18"/>
          <w:szCs w:val="18"/>
        </w:rPr>
        <w:t xml:space="preserve"> </w:t>
      </w:r>
      <w:hyperlink r:id="rId16" w:tgtFrame="_blank" w:tooltip="Link para Diretiva da Comunidade Europeia" w:history="1">
        <w:r w:rsidRPr="002F42B2">
          <w:rPr>
            <w:rStyle w:val="Hiperligao"/>
            <w:rFonts w:ascii="Verdana" w:hAnsi="Verdana"/>
            <w:sz w:val="18"/>
            <w:szCs w:val="18"/>
          </w:rPr>
          <w:t>2005/36/CE</w:t>
        </w:r>
      </w:hyperlink>
      <w:r w:rsidRPr="002F42B2">
        <w:rPr>
          <w:rFonts w:ascii="Verdana" w:hAnsi="Verdana"/>
          <w:sz w:val="18"/>
          <w:szCs w:val="18"/>
        </w:rPr>
        <w:t xml:space="preserve">, de 7 de setembro, relativa ao reconhecimento das qualificações profissionais, e </w:t>
      </w:r>
      <w:hyperlink r:id="rId17" w:tgtFrame="_blank" w:tooltip="Link para Diretiva da Comunidade Europeia" w:history="1">
        <w:r w:rsidRPr="002F42B2">
          <w:rPr>
            <w:rStyle w:val="Hiperligao"/>
            <w:rFonts w:ascii="Verdana" w:hAnsi="Verdana"/>
            <w:sz w:val="18"/>
            <w:szCs w:val="18"/>
          </w:rPr>
          <w:t>2006/123/CE</w:t>
        </w:r>
      </w:hyperlink>
      <w:r w:rsidRPr="002F42B2">
        <w:rPr>
          <w:rFonts w:ascii="Verdana" w:hAnsi="Verdana"/>
          <w:sz w:val="18"/>
          <w:szCs w:val="18"/>
        </w:rPr>
        <w:t xml:space="preserve">, de 12 de dezembro, relativa aos serviços no mercado interno, e procede à quinta alteração ao </w:t>
      </w:r>
      <w:hyperlink r:id="rId18" w:tgtFrame="_blank" w:tooltip="Decreto-Lei n.º 267/2002" w:history="1">
        <w:r w:rsidRPr="002F42B2">
          <w:rPr>
            <w:rStyle w:val="Hiperligao"/>
            <w:rFonts w:ascii="Verdana" w:hAnsi="Verdana"/>
            <w:sz w:val="18"/>
            <w:szCs w:val="18"/>
          </w:rPr>
          <w:t>Decreto-Lei n.º 267/2002</w:t>
        </w:r>
      </w:hyperlink>
      <w:r w:rsidRPr="002F42B2">
        <w:rPr>
          <w:rFonts w:ascii="Verdana" w:hAnsi="Verdana"/>
          <w:sz w:val="18"/>
          <w:szCs w:val="18"/>
        </w:rPr>
        <w:t>, de 26 de novembro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F42B2">
        <w:rPr>
          <w:rFonts w:ascii="Verdana" w:hAnsi="Verdana" w:cs="Tahoma"/>
          <w:b/>
          <w:color w:val="000000"/>
          <w:sz w:val="18"/>
          <w:szCs w:val="18"/>
        </w:rPr>
        <w:t>Regime jurídico dos organismos de investimento coletivo e alterações códigos</w:t>
      </w:r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hyperlink r:id="rId19" w:tgtFrame="_blank" w:tooltip="Abrir documento em nova página" w:history="1">
        <w:r w:rsidRPr="00222A48">
          <w:rPr>
            <w:rFonts w:cs="Tahoma"/>
            <w:b/>
            <w:color w:val="000000"/>
          </w:rPr>
          <w:t>Lei n.º 16/2015 - Diário da República n.º 38/2015, Série I de 2015-02-24</w:t>
        </w:r>
      </w:hyperlink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rPr>
          <w:rFonts w:ascii="Verdana" w:hAnsi="Verdana" w:cs="Tahoma"/>
          <w:color w:val="000000"/>
          <w:sz w:val="18"/>
          <w:szCs w:val="18"/>
        </w:rPr>
        <w:t>Assembleia</w:t>
      </w:r>
      <w:r w:rsidRPr="00222A48">
        <w:rPr>
          <w:rFonts w:ascii="Verdana" w:hAnsi="Verdana"/>
          <w:sz w:val="18"/>
          <w:szCs w:val="18"/>
        </w:rPr>
        <w:t xml:space="preserve"> da República 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Transpõe parcialmente as Diretivas </w:t>
      </w:r>
      <w:proofErr w:type="spellStart"/>
      <w:r w:rsidRPr="002F42B2">
        <w:rPr>
          <w:rFonts w:ascii="Verdana" w:hAnsi="Verdana"/>
          <w:sz w:val="18"/>
          <w:szCs w:val="18"/>
        </w:rPr>
        <w:t>n.os</w:t>
      </w:r>
      <w:proofErr w:type="spellEnd"/>
      <w:r w:rsidRPr="002F42B2">
        <w:rPr>
          <w:rFonts w:ascii="Verdana" w:hAnsi="Verdana"/>
          <w:sz w:val="18"/>
          <w:szCs w:val="18"/>
        </w:rPr>
        <w:t xml:space="preserve"> </w:t>
      </w:r>
      <w:hyperlink r:id="rId20" w:tgtFrame="_blank" w:tooltip="Link para Diretiva da União Europeia" w:history="1">
        <w:r w:rsidRPr="002F42B2">
          <w:rPr>
            <w:rStyle w:val="Hiperligao"/>
            <w:rFonts w:ascii="Verdana" w:hAnsi="Verdana"/>
            <w:sz w:val="18"/>
            <w:szCs w:val="18"/>
          </w:rPr>
          <w:t>2011/61/UE</w:t>
        </w:r>
      </w:hyperlink>
      <w:r w:rsidRPr="002F42B2">
        <w:rPr>
          <w:rFonts w:ascii="Verdana" w:hAnsi="Verdana"/>
          <w:sz w:val="18"/>
          <w:szCs w:val="18"/>
        </w:rPr>
        <w:t xml:space="preserve"> e </w:t>
      </w:r>
      <w:hyperlink r:id="rId21" w:tgtFrame="_blank" w:tooltip="Link para Diretiva da União Europeia" w:history="1">
        <w:r w:rsidRPr="002F42B2">
          <w:rPr>
            <w:rStyle w:val="Hiperligao"/>
            <w:rFonts w:ascii="Verdana" w:hAnsi="Verdana"/>
            <w:sz w:val="18"/>
            <w:szCs w:val="18"/>
          </w:rPr>
          <w:t>2013/14/UE</w:t>
        </w:r>
      </w:hyperlink>
      <w:r w:rsidRPr="002F42B2">
        <w:rPr>
          <w:rFonts w:ascii="Verdana" w:hAnsi="Verdana"/>
          <w:sz w:val="18"/>
          <w:szCs w:val="18"/>
        </w:rPr>
        <w:t>, procedendo à revisão do regime jurídico dos organismos de investimento coletivo e à alteração ao Regime Geral das Instituições de Crédito e Sociedades Financeiras e ao Código dos Valores Mobiliários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F42B2">
        <w:rPr>
          <w:rFonts w:ascii="Verdana" w:hAnsi="Verdana" w:cs="Tahoma"/>
          <w:b/>
          <w:color w:val="000000"/>
          <w:sz w:val="18"/>
          <w:szCs w:val="18"/>
        </w:rPr>
        <w:t>Procedimento especial de despejo – alterações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22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30/2015 - Diário da República n.º 30/2015, Série I de 2015-02-12</w:t>
        </w:r>
      </w:hyperlink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rPr>
          <w:rFonts w:ascii="Verdana" w:hAnsi="Verdana"/>
          <w:sz w:val="18"/>
          <w:szCs w:val="18"/>
        </w:rPr>
        <w:t xml:space="preserve">Ministério da Justiça 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Segunda alteração à </w:t>
      </w:r>
      <w:hyperlink r:id="rId23" w:tgtFrame="_blank" w:tooltip="Portaria n.º 9/2013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9/2013</w:t>
        </w:r>
      </w:hyperlink>
      <w:r w:rsidRPr="002F42B2">
        <w:rPr>
          <w:rFonts w:ascii="Verdana" w:hAnsi="Verdana"/>
          <w:sz w:val="18"/>
          <w:szCs w:val="18"/>
        </w:rPr>
        <w:t>, de 10 de janeiro, que regulamenta vários aspetos do Procedimento Especial de Despejo</w:t>
      </w:r>
      <w:r>
        <w:rPr>
          <w:rFonts w:ascii="Verdana" w:hAnsi="Verdana"/>
          <w:sz w:val="18"/>
          <w:szCs w:val="18"/>
        </w:rPr>
        <w:t>.</w:t>
      </w:r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222A48">
        <w:rPr>
          <w:rFonts w:ascii="Verdana" w:hAnsi="Verdana" w:cs="Tahoma"/>
          <w:b/>
          <w:color w:val="000000"/>
          <w:sz w:val="18"/>
          <w:szCs w:val="18"/>
        </w:rPr>
        <w:t xml:space="preserve">Atividade pecuária e atividades </w:t>
      </w:r>
      <w:proofErr w:type="gramStart"/>
      <w:r w:rsidRPr="00222A48">
        <w:rPr>
          <w:rFonts w:ascii="Verdana" w:hAnsi="Verdana" w:cs="Tahoma"/>
          <w:b/>
          <w:color w:val="000000"/>
          <w:sz w:val="18"/>
          <w:szCs w:val="18"/>
        </w:rPr>
        <w:t>complementares</w:t>
      </w:r>
      <w:proofErr w:type="gramEnd"/>
      <w:r w:rsidRPr="00222A48">
        <w:rPr>
          <w:rFonts w:ascii="Verdana" w:hAnsi="Verdana" w:cs="Tahoma"/>
          <w:b/>
          <w:color w:val="000000"/>
          <w:sz w:val="18"/>
          <w:szCs w:val="18"/>
        </w:rPr>
        <w:t xml:space="preserve"> – normas regulamentares</w:t>
      </w:r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hyperlink r:id="rId24" w:tgtFrame="_blank" w:tooltip="Abrir documento em nova página" w:history="1">
        <w:r w:rsidRPr="00222A48">
          <w:rPr>
            <w:rFonts w:cs="Tahoma"/>
            <w:b/>
            <w:color w:val="000000"/>
          </w:rPr>
          <w:t>Portaria n.º 42/2015 - Diário da República n.º 35/2015, Série I de 2015-02-19</w:t>
        </w:r>
      </w:hyperlink>
    </w:p>
    <w:p w:rsidR="00222A48" w:rsidRPr="00222A48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rPr>
          <w:rFonts w:ascii="Verdana" w:hAnsi="Verdana" w:cs="Tahoma"/>
          <w:color w:val="000000"/>
          <w:sz w:val="18"/>
          <w:szCs w:val="18"/>
        </w:rPr>
        <w:t>Ministério</w:t>
      </w:r>
      <w:r w:rsidRPr="00222A48">
        <w:rPr>
          <w:rFonts w:ascii="Verdana" w:hAnsi="Verdana"/>
          <w:sz w:val="18"/>
          <w:szCs w:val="18"/>
        </w:rPr>
        <w:t xml:space="preserve"> da Agricultura e do Mar</w:t>
      </w:r>
    </w:p>
    <w:p w:rsidR="00222A48" w:rsidRPr="002F42B2" w:rsidRDefault="00222A48" w:rsidP="00222A48">
      <w:pPr>
        <w:pStyle w:val="NormalWeb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as normas regulamentares aplicáveis à atividade de detenção e produção pecuária, ou atividades complementares, de bovinos, ovinos, caprinos e cervídeos e revoga a </w:t>
      </w:r>
      <w:hyperlink r:id="rId25" w:tgtFrame="_blank" w:tooltip="Portaria n.º 638/2009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638/2009</w:t>
        </w:r>
      </w:hyperlink>
      <w:r w:rsidRPr="002F42B2">
        <w:rPr>
          <w:rFonts w:ascii="Verdana" w:hAnsi="Verdana"/>
          <w:sz w:val="18"/>
          <w:szCs w:val="18"/>
        </w:rPr>
        <w:t>, de 9 de junho</w:t>
      </w:r>
      <w:r>
        <w:rPr>
          <w:rFonts w:ascii="Verdana" w:hAnsi="Verdana"/>
          <w:sz w:val="18"/>
          <w:szCs w:val="18"/>
        </w:rPr>
        <w:t>.</w:t>
      </w:r>
    </w:p>
    <w:p w:rsidR="00222A48" w:rsidRPr="00222A48" w:rsidRDefault="00222A48" w:rsidP="00222A48">
      <w:pPr>
        <w:jc w:val="center"/>
        <w:rPr>
          <w:rFonts w:ascii="Verdana" w:hAnsi="Verdana" w:cs="Arial"/>
          <w:sz w:val="18"/>
          <w:szCs w:val="18"/>
        </w:rPr>
      </w:pPr>
    </w:p>
    <w:p w:rsidR="00222A48" w:rsidRPr="002F42B2" w:rsidRDefault="00222A48" w:rsidP="00222A48">
      <w:pPr>
        <w:jc w:val="center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 w:cs="Arial"/>
          <w:b/>
          <w:sz w:val="18"/>
          <w:szCs w:val="18"/>
        </w:rPr>
        <w:t>Programas operacionais / Apoios</w:t>
      </w:r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26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18/2015 - Diário da República n.º 22/2015, Série I de 2015-02-02</w:t>
        </w:r>
      </w:hyperlink>
    </w:p>
    <w:p w:rsidR="00222A48" w:rsidRPr="002F42B2" w:rsidRDefault="00222A48" w:rsidP="00222A4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Estabelece o regime de aplicação da ação 6.1, «Seguros», da medida 6 «Gestão do Risco e Restabelecimento do Potencial Produtivo» do Programa de Desenvolvimento Rural do Continente, designado por PDR 2020</w:t>
      </w:r>
      <w:r>
        <w:rPr>
          <w:rFonts w:ascii="Verdana" w:hAnsi="Verdana"/>
          <w:sz w:val="18"/>
          <w:szCs w:val="18"/>
        </w:rPr>
        <w:t>.</w:t>
      </w:r>
    </w:p>
    <w:p w:rsidR="00B378C9" w:rsidRPr="007A4344" w:rsidRDefault="00B378C9" w:rsidP="00B378C9">
      <w:pPr>
        <w:spacing w:after="0" w:line="240" w:lineRule="auto"/>
        <w:jc w:val="both"/>
        <w:rPr>
          <w:rStyle w:val="Hiperligao"/>
          <w:rFonts w:ascii="Verdana" w:hAnsi="Verdana"/>
          <w:sz w:val="18"/>
          <w:szCs w:val="18"/>
        </w:rPr>
      </w:pPr>
      <w:r w:rsidRPr="007A4344">
        <w:rPr>
          <w:rStyle w:val="Hiperligao"/>
          <w:rFonts w:ascii="Verdana" w:hAnsi="Verdana"/>
          <w:sz w:val="18"/>
          <w:szCs w:val="18"/>
        </w:rPr>
        <w:t>Portaria n.º 24/2015 - Diário da República n.º 27/2015, Série I de 2015-02-09</w:t>
      </w:r>
    </w:p>
    <w:p w:rsidR="00222A48" w:rsidRPr="002F42B2" w:rsidRDefault="00222A48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22A48">
        <w:t>Ministério</w:t>
      </w:r>
      <w:r w:rsidRPr="002F42B2">
        <w:rPr>
          <w:rFonts w:ascii="Verdana" w:hAnsi="Verdana"/>
          <w:sz w:val="18"/>
          <w:szCs w:val="18"/>
        </w:rPr>
        <w:t xml:space="preserve"> da Agricultura e do Mar </w:t>
      </w:r>
    </w:p>
    <w:p w:rsidR="00C24D4D" w:rsidRDefault="00222A48" w:rsidP="00222A48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Estabelece o regime de aplicação da medida n.º 9, «Manutenção da atividade agrícola em zonas desfavorecidas», do Programa de Desenvolvimento Rural do Continente, abreviadamente designado por PDR 2020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27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31/2015 - Diário da República n.º 30/2015, Série I de 2015-02-12</w:t>
        </w:r>
        <w:r w:rsidRPr="002F42B2">
          <w:rPr>
            <w:rStyle w:val="rgba"/>
            <w:rFonts w:ascii="Verdana" w:hAnsi="Verdana"/>
            <w:color w:val="0000FF"/>
            <w:sz w:val="18"/>
            <w:szCs w:val="18"/>
            <w:u w:val="single"/>
          </w:rPr>
          <w:t>6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378C9">
        <w:t>Min</w:t>
      </w:r>
      <w:r w:rsidRPr="002F42B2">
        <w:rPr>
          <w:rFonts w:ascii="Verdana" w:hAnsi="Verdana"/>
          <w:sz w:val="18"/>
          <w:szCs w:val="18"/>
        </w:rPr>
        <w:t xml:space="preserve">istério da Agricultura e do Mar 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o regime de aplicação da ação n.º 3.1, «Jovens agricultores», da Medida n.º 3, «Valorização da produção agrícola», do Programa de Desenvolvimento Rural do Continente, </w:t>
      </w:r>
      <w:proofErr w:type="gramStart"/>
      <w:r w:rsidRPr="002F42B2">
        <w:rPr>
          <w:rFonts w:ascii="Verdana" w:hAnsi="Verdana"/>
          <w:sz w:val="18"/>
          <w:szCs w:val="18"/>
        </w:rPr>
        <w:t>designado</w:t>
      </w:r>
      <w:proofErr w:type="gramEnd"/>
      <w:r w:rsidRPr="002F42B2">
        <w:rPr>
          <w:rFonts w:ascii="Verdana" w:hAnsi="Verdana"/>
          <w:sz w:val="18"/>
          <w:szCs w:val="18"/>
        </w:rPr>
        <w:t xml:space="preserve"> por PDR 2020</w:t>
      </w:r>
      <w:r>
        <w:rPr>
          <w:rFonts w:ascii="Verdana" w:hAnsi="Verdana"/>
          <w:sz w:val="18"/>
          <w:szCs w:val="18"/>
        </w:rPr>
        <w:t>.</w:t>
      </w:r>
    </w:p>
    <w:p w:rsidR="00222A48" w:rsidRDefault="00222A48" w:rsidP="003231B5">
      <w:pPr>
        <w:shd w:val="clear" w:color="auto" w:fill="FFFFFF" w:themeFill="background1"/>
        <w:spacing w:line="360" w:lineRule="auto"/>
        <w:jc w:val="both"/>
        <w:rPr>
          <w:rFonts w:ascii="Verdana" w:hAnsi="Verdana" w:cs="Arial"/>
          <w:color w:val="000000"/>
          <w:sz w:val="18"/>
          <w:szCs w:val="18"/>
        </w:rPr>
        <w:sectPr w:rsidR="00222A48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4D4D" w:rsidRPr="0006020B" w:rsidTr="001B54C5">
        <w:trPr>
          <w:trHeight w:val="1770"/>
        </w:trPr>
        <w:tc>
          <w:tcPr>
            <w:tcW w:w="4172" w:type="dxa"/>
          </w:tcPr>
          <w:p w:rsidR="00C24D4D" w:rsidRDefault="00C24D4D" w:rsidP="001B54C5">
            <w:pPr>
              <w:spacing w:after="0" w:line="240" w:lineRule="auto"/>
              <w:jc w:val="both"/>
            </w:pPr>
            <w:r>
              <w:lastRenderedPageBreak/>
              <w:br w:type="page"/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br w:type="page"/>
            </w:r>
            <w:r w:rsidR="00222A48">
              <w:rPr>
                <w:noProof/>
              </w:rPr>
              <w:pict>
                <v:shape id="_x0000_i1027" type="#_x0000_t75" style="width:141.6pt;height:54pt;visibility:visible">
                  <v:imagedata r:id="rId6" o:title="logo_MARIQUITO (2)"/>
                </v:shape>
              </w:pict>
            </w:r>
          </w:p>
          <w:p w:rsidR="00C24D4D" w:rsidRPr="0006020B" w:rsidRDefault="007738EA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7738EA">
              <w:rPr>
                <w:noProof/>
                <w:lang w:eastAsia="pt-PT"/>
              </w:rPr>
              <w:pict>
                <v:line id="_x0000_s1041" style="position:absolute;left:0;text-align:left;z-index:251665408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A30BFA" w:rsidRPr="0006020B" w:rsidRDefault="00A30BFA" w:rsidP="00A30BFA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02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4D4D" w:rsidRPr="0006020B" w:rsidRDefault="00A30BFA" w:rsidP="00A30BFA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fevereiro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222A48" w:rsidRPr="002F42B2" w:rsidRDefault="00222A48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28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25/2015 - Diário da República n.º 27/2015, Série I de 2015-02-09</w:t>
        </w:r>
      </w:hyperlink>
    </w:p>
    <w:p w:rsidR="00222A48" w:rsidRPr="002F42B2" w:rsidRDefault="00222A48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o regime de aplicação da ação n.º 7.1, «Agricultura biológica», e da ação n.º 7.2, «Produção integrada», ambas da medida n.º 7, «Agricultura e recursos naturais», </w:t>
      </w:r>
      <w:proofErr w:type="gramStart"/>
      <w:r w:rsidRPr="002F42B2">
        <w:rPr>
          <w:rFonts w:ascii="Verdana" w:hAnsi="Verdana"/>
          <w:sz w:val="18"/>
          <w:szCs w:val="18"/>
        </w:rPr>
        <w:t>integrada</w:t>
      </w:r>
      <w:proofErr w:type="gramEnd"/>
      <w:r w:rsidRPr="002F42B2">
        <w:rPr>
          <w:rFonts w:ascii="Verdana" w:hAnsi="Verdana"/>
          <w:sz w:val="18"/>
          <w:szCs w:val="18"/>
        </w:rPr>
        <w:t xml:space="preserve"> na área </w:t>
      </w:r>
      <w:proofErr w:type="gramStart"/>
      <w:r w:rsidRPr="002F42B2">
        <w:rPr>
          <w:rFonts w:ascii="Verdana" w:hAnsi="Verdana"/>
          <w:sz w:val="18"/>
          <w:szCs w:val="18"/>
        </w:rPr>
        <w:t>n.º</w:t>
      </w:r>
      <w:proofErr w:type="gramEnd"/>
      <w:r w:rsidRPr="002F42B2">
        <w:rPr>
          <w:rFonts w:ascii="Verdana" w:hAnsi="Verdana"/>
          <w:sz w:val="18"/>
          <w:szCs w:val="18"/>
        </w:rPr>
        <w:t xml:space="preserve"> 3, «Ambiente, eficiência no uso dos recursos e clima», do Programa de Desenvolvimento Rural do Continente, abreviadamente designado por PDR 2020</w:t>
      </w:r>
      <w:r>
        <w:rPr>
          <w:rFonts w:ascii="Verdana" w:hAnsi="Verdana"/>
          <w:sz w:val="18"/>
          <w:szCs w:val="18"/>
        </w:rPr>
        <w:t>.</w:t>
      </w:r>
    </w:p>
    <w:p w:rsidR="00222A48" w:rsidRPr="002F42B2" w:rsidRDefault="00222A48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29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26/2015 - Diário da República n.º 28/2015, Série I de 2015-02-10</w:t>
        </w:r>
      </w:hyperlink>
    </w:p>
    <w:p w:rsidR="00222A48" w:rsidRPr="002F42B2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Solidariedade, Emprego e Segurança Social </w:t>
      </w:r>
    </w:p>
    <w:p w:rsidR="00222A48" w:rsidRDefault="00222A48" w:rsidP="00222A48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a Medida Incentivo à Aceitação de Ofertas de Emprego e revoga a </w:t>
      </w:r>
      <w:hyperlink r:id="rId30" w:tgtFrame="_blank" w:tooltip="Portaria n.º 207/2012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207/2012</w:t>
        </w:r>
      </w:hyperlink>
      <w:r w:rsidRPr="002F42B2">
        <w:rPr>
          <w:rFonts w:ascii="Verdana" w:hAnsi="Verdana"/>
          <w:sz w:val="18"/>
          <w:szCs w:val="18"/>
        </w:rPr>
        <w:t>, de 6 de julho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1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31/2015 - Diário da República n.º 30/2015, Série I de 2015-02-12</w:t>
        </w:r>
        <w:r w:rsidRPr="002F42B2">
          <w:rPr>
            <w:rStyle w:val="rgba"/>
            <w:rFonts w:ascii="Verdana" w:hAnsi="Verdana"/>
            <w:color w:val="0000FF"/>
            <w:sz w:val="18"/>
            <w:szCs w:val="18"/>
            <w:u w:val="single"/>
          </w:rPr>
          <w:t>6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B378C9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Estabelece o regime de aplicação da ação n.º 3.1, «Jovens agricultores», da Medida n.º 3, «Valorização da produção agrícola», do Programa de Desenvolvimento Rural do Continente, designado por PDR 2020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2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55/2015 - Diário da República n.º 41/2015, Série I de 2015-02-27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o regime de aplicação do apoio «Manutenção de raças autóctones em risco», da ação 7.8, «Recursos genéticos», </w:t>
      </w:r>
      <w:proofErr w:type="gramStart"/>
      <w:r w:rsidRPr="002F42B2">
        <w:rPr>
          <w:rFonts w:ascii="Verdana" w:hAnsi="Verdana"/>
          <w:sz w:val="18"/>
          <w:szCs w:val="18"/>
        </w:rPr>
        <w:t>integrada</w:t>
      </w:r>
      <w:proofErr w:type="gramEnd"/>
      <w:r w:rsidRPr="002F42B2">
        <w:rPr>
          <w:rFonts w:ascii="Verdana" w:hAnsi="Verdana"/>
          <w:sz w:val="18"/>
          <w:szCs w:val="18"/>
        </w:rPr>
        <w:t xml:space="preserve"> na medida </w:t>
      </w:r>
      <w:proofErr w:type="gramStart"/>
      <w:r w:rsidRPr="002F42B2">
        <w:rPr>
          <w:rFonts w:ascii="Verdana" w:hAnsi="Verdana"/>
          <w:sz w:val="18"/>
          <w:szCs w:val="18"/>
        </w:rPr>
        <w:t>n.º</w:t>
      </w:r>
      <w:proofErr w:type="gramEnd"/>
      <w:r w:rsidRPr="002F42B2">
        <w:rPr>
          <w:rFonts w:ascii="Verdana" w:hAnsi="Verdana"/>
          <w:sz w:val="18"/>
          <w:szCs w:val="18"/>
        </w:rPr>
        <w:t xml:space="preserve"> 7, «Agricultura e recursos naturais», da área n.º 3, «Ambiente, eficiência no uso dos recursos e clima», do Programa de Desenvolvimento Rural do Continente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3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57/2015 - Diário da República n.º 41/2015, Série I de 2015-02-27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Aprova o Regulamento de aplicação dos regimes de pagamento base, pagamento por práticas agrícolas benéficas para o clima e para o ambiente, pagamento para os jovens agricultores, pagamento específico para o algodão e regime da pequena agricultura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4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57-A/2015 - Diário da República n.º 41/2015, 1º Suplemento, Série I de 2015-02-27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Presidência do Conselho de Ministros e Ministério da Economia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Adota o regulamento específico do domínio da Competitividade e Internacionalização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5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57-B/2015 - Diário da República n.º 41/2015, 1º Suplemento, Série I de 2015-02-27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Presidência do Conselho de Ministros e Ministério do Ambiente, Orde</w:t>
      </w:r>
      <w:r>
        <w:rPr>
          <w:rFonts w:ascii="Verdana" w:hAnsi="Verdana"/>
          <w:sz w:val="18"/>
          <w:szCs w:val="18"/>
        </w:rPr>
        <w:t>namento do Território e Energia.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Adota o Regulamento Específico Sustentabilidade e Eficiência no Uso de Recursos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6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50/2015 - Diário da República n.º 39/2015, Série I de 2015-02-25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Estabelece o regime de aplicação dos apoios </w:t>
      </w:r>
      <w:proofErr w:type="spellStart"/>
      <w:r w:rsidRPr="002F42B2">
        <w:rPr>
          <w:rFonts w:ascii="Verdana" w:hAnsi="Verdana"/>
          <w:sz w:val="18"/>
          <w:szCs w:val="18"/>
        </w:rPr>
        <w:t>n.os</w:t>
      </w:r>
      <w:proofErr w:type="spellEnd"/>
      <w:r w:rsidRPr="002F42B2">
        <w:rPr>
          <w:rFonts w:ascii="Verdana" w:hAnsi="Verdana"/>
          <w:sz w:val="18"/>
          <w:szCs w:val="18"/>
        </w:rPr>
        <w:t xml:space="preserve"> 7.4, «Conservação do solo», 7.5, «Uso eficiente da água», 7.6, «Culturas permanentes tradicionais», 7.7, «Pastoreio extensivo», 7.9, «Mosaico agroflorestal», e 7.12, «Apoio agroambiental à apicultura», da medida n.º 7, «Agricultura e recursos naturais», do Programa de Desenvolvimento Rural do Continente</w:t>
      </w:r>
      <w:r>
        <w:rPr>
          <w:rFonts w:ascii="Verdana" w:hAnsi="Verdana"/>
          <w:sz w:val="18"/>
          <w:szCs w:val="18"/>
        </w:rPr>
        <w:t>.</w:t>
      </w:r>
    </w:p>
    <w:p w:rsidR="00664FBD" w:rsidRDefault="00664FBD" w:rsidP="001B54C5">
      <w:pPr>
        <w:shd w:val="clear" w:color="auto" w:fill="FFFFFF" w:themeFill="background1"/>
        <w:spacing w:line="312" w:lineRule="auto"/>
        <w:ind w:left="480" w:right="90"/>
        <w:jc w:val="both"/>
        <w:rPr>
          <w:rFonts w:ascii="Verdana" w:hAnsi="Verdana"/>
          <w:color w:val="222222"/>
          <w:sz w:val="20"/>
          <w:szCs w:val="20"/>
        </w:rPr>
      </w:pPr>
    </w:p>
    <w:p w:rsidR="00C24D4D" w:rsidRDefault="00C24D4D">
      <w:pPr>
        <w:sectPr w:rsidR="00C24D4D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4D4D" w:rsidRPr="0006020B" w:rsidTr="001B54C5">
        <w:trPr>
          <w:trHeight w:val="1770"/>
        </w:trPr>
        <w:tc>
          <w:tcPr>
            <w:tcW w:w="4172" w:type="dxa"/>
          </w:tcPr>
          <w:p w:rsidR="00C24D4D" w:rsidRDefault="00C24D4D" w:rsidP="001B54C5">
            <w:pPr>
              <w:spacing w:after="0" w:line="240" w:lineRule="auto"/>
              <w:jc w:val="both"/>
            </w:pPr>
            <w:r>
              <w:rPr>
                <w:rFonts w:ascii="Verdana" w:hAnsi="Verdana"/>
                <w:color w:val="222222"/>
                <w:sz w:val="20"/>
                <w:szCs w:val="20"/>
              </w:rPr>
              <w:lastRenderedPageBreak/>
              <w:br w:type="page"/>
            </w:r>
            <w:r>
              <w:rPr>
                <w:rFonts w:ascii="Verdana" w:hAnsi="Verdana"/>
                <w:color w:val="222222"/>
                <w:sz w:val="20"/>
                <w:szCs w:val="20"/>
              </w:rPr>
              <w:br w:type="page"/>
            </w:r>
            <w:r w:rsidR="00222A48">
              <w:rPr>
                <w:noProof/>
              </w:rPr>
              <w:pict>
                <v:shape id="_x0000_i1028" type="#_x0000_t75" style="width:141.6pt;height:54pt;visibility:visible">
                  <v:imagedata r:id="rId6" o:title="logo_MARIQUITO (2)"/>
                </v:shape>
              </w:pict>
            </w:r>
          </w:p>
          <w:p w:rsidR="00C24D4D" w:rsidRPr="0006020B" w:rsidRDefault="007738EA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7738EA">
              <w:rPr>
                <w:noProof/>
                <w:lang w:eastAsia="pt-PT"/>
              </w:rPr>
              <w:pict>
                <v:line id="_x0000_s1043" style="position:absolute;left:0;text-align:left;z-index:251669504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A30BFA" w:rsidRPr="0006020B" w:rsidRDefault="00A30BFA" w:rsidP="00A30BFA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02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4D4D" w:rsidRPr="0006020B" w:rsidRDefault="00A30BFA" w:rsidP="00A30BFA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fevereiro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hyperlink r:id="rId37" w:tgtFrame="_blank" w:tooltip="Abrir documento em nova página" w:history="1">
        <w:r w:rsidRPr="002F42B2">
          <w:rPr>
            <w:rStyle w:val="Hiperligao"/>
            <w:rFonts w:ascii="Verdana" w:hAnsi="Verdana"/>
            <w:sz w:val="18"/>
            <w:szCs w:val="18"/>
          </w:rPr>
          <w:t>Portaria n.º 56/2015 - Diário da República n.º 41/2015, Série I de 2015-02-27</w:t>
        </w:r>
      </w:hyperlink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Ministério da Agricultura e do Mar 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Estabelece o regime de aplicação da ação n.º 7.3, «Pagamentos Rede Natura», integrada na medida n.º 7, «Agricultura e recursos naturais», da área n.º 3, «Ambiente, eficiência no uso dos recursos e clima», do Programa de Desenvolvimento Rural do Continente</w:t>
      </w:r>
      <w:r>
        <w:rPr>
          <w:rFonts w:ascii="Verdana" w:hAnsi="Verdana"/>
          <w:sz w:val="18"/>
          <w:szCs w:val="18"/>
        </w:rPr>
        <w:t>.</w:t>
      </w:r>
    </w:p>
    <w:p w:rsidR="00B378C9" w:rsidRDefault="00B378C9" w:rsidP="00B378C9">
      <w:pPr>
        <w:pStyle w:val="PargrafodaLista"/>
        <w:spacing w:line="360" w:lineRule="auto"/>
        <w:ind w:left="3402"/>
        <w:jc w:val="both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 w:cs="Arial"/>
          <w:b/>
          <w:sz w:val="18"/>
          <w:szCs w:val="18"/>
        </w:rPr>
        <w:t>JURISPRUDÊNCIA</w:t>
      </w:r>
    </w:p>
    <w:p w:rsidR="00BB02C8" w:rsidRPr="00BB02C8" w:rsidRDefault="00BB02C8" w:rsidP="00B378C9">
      <w:pPr>
        <w:pStyle w:val="PargrafodaLista"/>
        <w:spacing w:line="360" w:lineRule="auto"/>
        <w:ind w:left="3402"/>
        <w:jc w:val="both"/>
        <w:rPr>
          <w:rFonts w:ascii="Verdana" w:hAnsi="Verdana" w:cs="Arial"/>
          <w:sz w:val="18"/>
          <w:szCs w:val="18"/>
        </w:rPr>
      </w:pP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bCs/>
          <w:sz w:val="18"/>
          <w:szCs w:val="18"/>
        </w:rPr>
        <w:t>Acórdão do Supremo Tribunal de Justiça n.º 2/2015 - Diário da República n.º 35/2015, Série I de 2015-02-19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Supremo Tribunal de Justiça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«No crime de abuso de confiança contra a Segurança Social, previsto e punido pelos artigos 107.º, número 1, e 105.º, números 1 e 5, do Regime Geral das Infrações Tributárias (RGIT), o prazo de prescrição do procedimento criminal começa a contar-se no dia imediato ao termo do prazo legalmente estabelecido para a entrega das prestações contributivas devidas, conforme dispõe o artigo 5.º, número 2, do mesmo diploma»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bCs/>
          <w:sz w:val="18"/>
          <w:szCs w:val="18"/>
        </w:rPr>
        <w:t>Circular 3/2015, de 06/02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Retenção na Fonte sobre Rendimentos do Trabalho Dependente e Pensões - Tabelas de Retenção - 2015 - Região Autónoma da Madeira.</w:t>
      </w:r>
    </w:p>
    <w:p w:rsidR="00B378C9" w:rsidRPr="009B0D02" w:rsidRDefault="00B378C9" w:rsidP="00B378C9">
      <w:pPr>
        <w:pStyle w:val="PargrafodaLista"/>
        <w:spacing w:line="360" w:lineRule="auto"/>
        <w:ind w:left="3402"/>
        <w:jc w:val="both"/>
        <w:rPr>
          <w:rFonts w:ascii="Verdana" w:hAnsi="Verdana" w:cs="Arial"/>
          <w:sz w:val="18"/>
          <w:szCs w:val="18"/>
        </w:rPr>
      </w:pPr>
    </w:p>
    <w:p w:rsidR="00B378C9" w:rsidRPr="002F42B2" w:rsidRDefault="00B378C9" w:rsidP="00B378C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bCs/>
          <w:sz w:val="18"/>
          <w:szCs w:val="18"/>
        </w:rPr>
        <w:t>Circular n.º 4/2015, de 25/02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Redução de taxa do IMI para prédios urbanos destinados a produção de energia a partir de fontes renováveis (Artigo 44.º-A do EBF).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Oficio circulado nº 20174/2015, de 26 de fevereiro - Direção de Serviços do IRS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Declaração </w:t>
      </w:r>
      <w:proofErr w:type="gramStart"/>
      <w:r w:rsidRPr="002F42B2">
        <w:rPr>
          <w:rFonts w:ascii="Verdana" w:hAnsi="Verdana"/>
          <w:sz w:val="18"/>
          <w:szCs w:val="18"/>
        </w:rPr>
        <w:t>modelo</w:t>
      </w:r>
      <w:proofErr w:type="gramEnd"/>
      <w:r w:rsidRPr="002F42B2">
        <w:rPr>
          <w:rFonts w:ascii="Verdana" w:hAnsi="Verdana"/>
          <w:sz w:val="18"/>
          <w:szCs w:val="18"/>
        </w:rPr>
        <w:t xml:space="preserve"> 3 de IRS em vigor a partir de janeiro 2015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O</w:t>
      </w:r>
      <w:r w:rsidRPr="002F42B2">
        <w:rPr>
          <w:rFonts w:ascii="Verdana" w:hAnsi="Verdana"/>
          <w:sz w:val="18"/>
          <w:szCs w:val="18"/>
        </w:rPr>
        <w:fldChar w:fldCharType="begin"/>
      </w:r>
      <w:r w:rsidRPr="002F42B2">
        <w:rPr>
          <w:rFonts w:ascii="Verdana" w:hAnsi="Verdana"/>
          <w:sz w:val="18"/>
          <w:szCs w:val="18"/>
        </w:rPr>
        <w:instrText xml:space="preserve"> HYPERLINK "http://info.portaldasfinancas.gov.pt/NR/rdonlyres/1246DD91-E4AA-4F95-9400-57FE3444C560/0/ofic_circ_90019.pdf" \t "_blank" </w:instrText>
      </w:r>
      <w:r w:rsidRPr="002F42B2">
        <w:rPr>
          <w:rFonts w:ascii="Verdana" w:hAnsi="Verdana"/>
          <w:sz w:val="18"/>
          <w:szCs w:val="18"/>
        </w:rPr>
        <w:fldChar w:fldCharType="separate"/>
      </w:r>
      <w:r w:rsidRPr="002F42B2">
        <w:rPr>
          <w:rFonts w:ascii="Verdana" w:hAnsi="Verdana"/>
          <w:sz w:val="18"/>
          <w:szCs w:val="18"/>
        </w:rPr>
        <w:t>fício-circulado n.º 90019/2014, de 29/12 – Área de Cobrança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 xml:space="preserve">Retificação ao ofício circulado n.º 90019 de 29-12-2014 respeitante ao pagamento de retenções na fonte de IRS/IRC e de Imposto do Selo. </w:t>
      </w:r>
      <w:r w:rsidRPr="002F42B2">
        <w:rPr>
          <w:rFonts w:ascii="Verdana" w:hAnsi="Verdana"/>
          <w:sz w:val="18"/>
          <w:szCs w:val="18"/>
        </w:rPr>
        <w:fldChar w:fldCharType="end"/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O</w:t>
      </w:r>
      <w:r w:rsidRPr="002F42B2">
        <w:rPr>
          <w:rFonts w:ascii="Verdana" w:hAnsi="Verdana"/>
          <w:sz w:val="18"/>
          <w:szCs w:val="18"/>
        </w:rPr>
        <w:fldChar w:fldCharType="begin"/>
      </w:r>
      <w:r w:rsidRPr="002F42B2">
        <w:rPr>
          <w:rFonts w:ascii="Verdana" w:hAnsi="Verdana"/>
          <w:sz w:val="18"/>
          <w:szCs w:val="18"/>
        </w:rPr>
        <w:instrText xml:space="preserve"> HYPERLINK "http://info.portaldasfinancas.gov.pt/NR/rdonlyres/1246DD91-E4AA-4F95-9400-57FE3444C560/0/ofic_circ_90019.pdf" \t "_blank" </w:instrText>
      </w:r>
      <w:r w:rsidRPr="002F42B2">
        <w:rPr>
          <w:rFonts w:ascii="Verdana" w:hAnsi="Verdana"/>
          <w:sz w:val="18"/>
          <w:szCs w:val="18"/>
        </w:rPr>
        <w:fldChar w:fldCharType="separate"/>
      </w:r>
      <w:r w:rsidRPr="002F42B2">
        <w:rPr>
          <w:rFonts w:ascii="Verdana" w:hAnsi="Verdana"/>
          <w:sz w:val="18"/>
          <w:szCs w:val="18"/>
        </w:rPr>
        <w:t>fício-circulado n.º 35041/2014, de 6/02 – Direção de Serviços dos Impostos Especiais de Consumo e do Imposto Sobre Veículos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Comprovativo</w:t>
      </w:r>
      <w:r w:rsidRPr="002F42B2">
        <w:rPr>
          <w:rFonts w:ascii="Verdana" w:hAnsi="Verdana"/>
          <w:sz w:val="18"/>
          <w:szCs w:val="18"/>
        </w:rPr>
        <w:fldChar w:fldCharType="end"/>
      </w:r>
      <w:r w:rsidRPr="002F42B2">
        <w:rPr>
          <w:rFonts w:ascii="Verdana" w:hAnsi="Verdana"/>
          <w:sz w:val="18"/>
          <w:szCs w:val="18"/>
        </w:rPr>
        <w:t xml:space="preserve"> da autonomia no modo elétrico dos veículos Plug-in</w:t>
      </w:r>
    </w:p>
    <w:p w:rsidR="00B378C9" w:rsidRDefault="00B378C9" w:rsidP="00B378C9">
      <w:pPr>
        <w:pStyle w:val="PargrafodaLista"/>
        <w:ind w:left="3402"/>
        <w:jc w:val="both"/>
        <w:rPr>
          <w:rFonts w:ascii="Verdana" w:hAnsi="Verdana" w:cs="Arial"/>
          <w:b/>
          <w:sz w:val="18"/>
          <w:szCs w:val="18"/>
        </w:rPr>
      </w:pPr>
      <w:r w:rsidRPr="002F42B2">
        <w:rPr>
          <w:rFonts w:ascii="Verdana" w:hAnsi="Verdana"/>
          <w:b/>
          <w:color w:val="222222"/>
          <w:sz w:val="18"/>
          <w:szCs w:val="18"/>
        </w:rPr>
        <w:t>OUTROS</w:t>
      </w:r>
      <w:r w:rsidRPr="002F42B2">
        <w:rPr>
          <w:rFonts w:ascii="Verdana" w:hAnsi="Verdana" w:cs="Arial"/>
          <w:b/>
          <w:sz w:val="18"/>
          <w:szCs w:val="18"/>
        </w:rPr>
        <w:t xml:space="preserve"> </w:t>
      </w:r>
    </w:p>
    <w:p w:rsidR="00B378C9" w:rsidRPr="00BB02C8" w:rsidRDefault="00B378C9" w:rsidP="00B378C9">
      <w:pPr>
        <w:pStyle w:val="PargrafodaLista"/>
        <w:ind w:left="3402"/>
        <w:jc w:val="both"/>
        <w:rPr>
          <w:rFonts w:ascii="Verdana" w:hAnsi="Verdana" w:cs="Arial"/>
          <w:sz w:val="18"/>
          <w:szCs w:val="18"/>
        </w:rPr>
      </w:pP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b/>
          <w:bCs/>
          <w:sz w:val="18"/>
          <w:szCs w:val="18"/>
        </w:rPr>
        <w:t>Comunicado do Conselho de Ministros de 12 de fevereiro de 2015</w:t>
      </w:r>
    </w:p>
    <w:p w:rsidR="00BB02C8" w:rsidRDefault="00B378C9" w:rsidP="00E5099A">
      <w:pPr>
        <w:jc w:val="both"/>
        <w:rPr>
          <w:rFonts w:ascii="Verdana" w:hAnsi="Verdana"/>
          <w:sz w:val="18"/>
          <w:szCs w:val="18"/>
        </w:rPr>
      </w:pPr>
      <w:r w:rsidRPr="002F42B2">
        <w:rPr>
          <w:rFonts w:ascii="Verdana" w:hAnsi="Verdana"/>
          <w:sz w:val="18"/>
          <w:szCs w:val="18"/>
        </w:rPr>
        <w:t>O Conselho de Ministros aprovou o novo regime do Fundo de Garantia Salarial, que respeita à proteção dos trabalhadores assalariados em caso de insolvência do empregador, congregando num único diploma matéria que se encontrava dispersa.</w:t>
      </w:r>
    </w:p>
    <w:p w:rsidR="00E5099A" w:rsidRPr="00AB0426" w:rsidRDefault="00B378C9" w:rsidP="00E5099A">
      <w:pPr>
        <w:jc w:val="both"/>
        <w:rPr>
          <w:rFonts w:ascii="Verdana" w:hAnsi="Verdana"/>
          <w:sz w:val="20"/>
          <w:szCs w:val="20"/>
        </w:rPr>
      </w:pPr>
      <w:r w:rsidRPr="002F42B2">
        <w:rPr>
          <w:rFonts w:ascii="Verdana" w:hAnsi="Verdana"/>
          <w:bCs/>
          <w:sz w:val="18"/>
          <w:szCs w:val="18"/>
        </w:rPr>
        <w:t>O Portal das Finanças divulgou lista atualizada das taxas de IVA em vigor nos vários Estados membros da EU, a partir de 1 de janeiro de 2015</w:t>
      </w:r>
      <w:r w:rsidR="00BB02C8">
        <w:rPr>
          <w:rFonts w:ascii="Verdana" w:hAnsi="Verdana"/>
          <w:bCs/>
          <w:sz w:val="18"/>
          <w:szCs w:val="18"/>
        </w:rPr>
        <w:t>.</w:t>
      </w:r>
    </w:p>
    <w:sectPr w:rsidR="00E5099A" w:rsidRPr="00AB0426" w:rsidSect="00FF701E">
      <w:pgSz w:w="11906" w:h="16838"/>
      <w:pgMar w:top="1417" w:right="1701" w:bottom="1417" w:left="1701" w:header="708" w:footer="708" w:gutter="0"/>
      <w:pgBorders w:offsetFrom="page">
        <w:top w:val="single" w:sz="24" w:space="24" w:color="C55F00"/>
        <w:left w:val="single" w:sz="24" w:space="24" w:color="C55F00"/>
        <w:bottom w:val="single" w:sz="24" w:space="24" w:color="C55F00"/>
        <w:right w:val="single" w:sz="24" w:space="24" w:color="C55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4B52"/>
    <w:multiLevelType w:val="multilevel"/>
    <w:tmpl w:val="848E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334193"/>
    <w:multiLevelType w:val="multilevel"/>
    <w:tmpl w:val="CB2A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5F4332"/>
    <w:multiLevelType w:val="multilevel"/>
    <w:tmpl w:val="31C4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DC7526"/>
    <w:multiLevelType w:val="multilevel"/>
    <w:tmpl w:val="250A5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9D32C1"/>
    <w:multiLevelType w:val="multilevel"/>
    <w:tmpl w:val="8E88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40ADD"/>
    <w:multiLevelType w:val="multilevel"/>
    <w:tmpl w:val="FAB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1830A4"/>
    <w:multiLevelType w:val="multilevel"/>
    <w:tmpl w:val="8312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1B6B33"/>
    <w:multiLevelType w:val="multilevel"/>
    <w:tmpl w:val="B9C8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E0F6B6A"/>
    <w:multiLevelType w:val="multilevel"/>
    <w:tmpl w:val="3B98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24F7ADE"/>
    <w:multiLevelType w:val="multilevel"/>
    <w:tmpl w:val="C964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C78CC"/>
    <w:multiLevelType w:val="multilevel"/>
    <w:tmpl w:val="092A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C963FB1"/>
    <w:multiLevelType w:val="multilevel"/>
    <w:tmpl w:val="4750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6B4748"/>
    <w:multiLevelType w:val="multilevel"/>
    <w:tmpl w:val="D42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A87949"/>
    <w:multiLevelType w:val="multilevel"/>
    <w:tmpl w:val="4C9E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1B0A79"/>
    <w:multiLevelType w:val="multilevel"/>
    <w:tmpl w:val="FA1E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417D9D"/>
    <w:multiLevelType w:val="multilevel"/>
    <w:tmpl w:val="6B16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DD5565E"/>
    <w:multiLevelType w:val="multilevel"/>
    <w:tmpl w:val="1AE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FB67A70"/>
    <w:multiLevelType w:val="multilevel"/>
    <w:tmpl w:val="F6AE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8EC4364"/>
    <w:multiLevelType w:val="multilevel"/>
    <w:tmpl w:val="22BC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1D02E2"/>
    <w:multiLevelType w:val="multilevel"/>
    <w:tmpl w:val="90E6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CDD0C7C"/>
    <w:multiLevelType w:val="multilevel"/>
    <w:tmpl w:val="2110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A7D30"/>
    <w:multiLevelType w:val="multilevel"/>
    <w:tmpl w:val="B9FA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57F4250"/>
    <w:multiLevelType w:val="multilevel"/>
    <w:tmpl w:val="70A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BE0761"/>
    <w:multiLevelType w:val="multilevel"/>
    <w:tmpl w:val="9146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F8827EF"/>
    <w:multiLevelType w:val="multilevel"/>
    <w:tmpl w:val="87DC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3981CE1"/>
    <w:multiLevelType w:val="multilevel"/>
    <w:tmpl w:val="4E52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AB6505"/>
    <w:multiLevelType w:val="multilevel"/>
    <w:tmpl w:val="9FE8F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CB26E6"/>
    <w:multiLevelType w:val="multilevel"/>
    <w:tmpl w:val="E1FC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5DF7999"/>
    <w:multiLevelType w:val="multilevel"/>
    <w:tmpl w:val="8752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CFE21F4"/>
    <w:multiLevelType w:val="multilevel"/>
    <w:tmpl w:val="7A741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05A7BB7"/>
    <w:multiLevelType w:val="multilevel"/>
    <w:tmpl w:val="D49E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78B68F4"/>
    <w:multiLevelType w:val="multilevel"/>
    <w:tmpl w:val="3E9C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8E11F98"/>
    <w:multiLevelType w:val="multilevel"/>
    <w:tmpl w:val="9EEE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A7340B"/>
    <w:multiLevelType w:val="multilevel"/>
    <w:tmpl w:val="A45C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C2F696A"/>
    <w:multiLevelType w:val="multilevel"/>
    <w:tmpl w:val="B7CE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5"/>
  </w:num>
  <w:num w:numId="3">
    <w:abstractNumId w:val="2"/>
  </w:num>
  <w:num w:numId="4">
    <w:abstractNumId w:val="34"/>
  </w:num>
  <w:num w:numId="5">
    <w:abstractNumId w:val="32"/>
  </w:num>
  <w:num w:numId="6">
    <w:abstractNumId w:val="6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"/>
  </w:num>
  <w:num w:numId="15">
    <w:abstractNumId w:val="5"/>
  </w:num>
  <w:num w:numId="16">
    <w:abstractNumId w:val="29"/>
  </w:num>
  <w:num w:numId="17">
    <w:abstractNumId w:val="0"/>
  </w:num>
  <w:num w:numId="18">
    <w:abstractNumId w:val="30"/>
  </w:num>
  <w:num w:numId="19">
    <w:abstractNumId w:val="27"/>
  </w:num>
  <w:num w:numId="20">
    <w:abstractNumId w:val="17"/>
  </w:num>
  <w:num w:numId="21">
    <w:abstractNumId w:val="31"/>
  </w:num>
  <w:num w:numId="22">
    <w:abstractNumId w:val="12"/>
  </w:num>
  <w:num w:numId="23">
    <w:abstractNumId w:val="13"/>
  </w:num>
  <w:num w:numId="24">
    <w:abstractNumId w:val="1"/>
  </w:num>
  <w:num w:numId="25">
    <w:abstractNumId w:val="24"/>
  </w:num>
  <w:num w:numId="26">
    <w:abstractNumId w:val="16"/>
  </w:num>
  <w:num w:numId="27">
    <w:abstractNumId w:val="21"/>
  </w:num>
  <w:num w:numId="28">
    <w:abstractNumId w:val="7"/>
  </w:num>
  <w:num w:numId="29">
    <w:abstractNumId w:val="8"/>
  </w:num>
  <w:num w:numId="30">
    <w:abstractNumId w:val="19"/>
  </w:num>
  <w:num w:numId="31">
    <w:abstractNumId w:val="10"/>
  </w:num>
  <w:num w:numId="32">
    <w:abstractNumId w:val="33"/>
  </w:num>
  <w:num w:numId="33">
    <w:abstractNumId w:val="23"/>
  </w:num>
  <w:num w:numId="34">
    <w:abstractNumId w:val="11"/>
  </w:num>
  <w:num w:numId="35">
    <w:abstractNumId w:val="2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C5B"/>
    <w:rsid w:val="00013612"/>
    <w:rsid w:val="0004043E"/>
    <w:rsid w:val="000532D5"/>
    <w:rsid w:val="0006020B"/>
    <w:rsid w:val="000A48F8"/>
    <w:rsid w:val="000C3368"/>
    <w:rsid w:val="000D7D41"/>
    <w:rsid w:val="001071EE"/>
    <w:rsid w:val="00132CBC"/>
    <w:rsid w:val="00135093"/>
    <w:rsid w:val="001571A0"/>
    <w:rsid w:val="00175497"/>
    <w:rsid w:val="001757C8"/>
    <w:rsid w:val="00181AA7"/>
    <w:rsid w:val="00187511"/>
    <w:rsid w:val="001B54C5"/>
    <w:rsid w:val="001E4770"/>
    <w:rsid w:val="001F2267"/>
    <w:rsid w:val="002007A8"/>
    <w:rsid w:val="00203627"/>
    <w:rsid w:val="00206FE7"/>
    <w:rsid w:val="00222A48"/>
    <w:rsid w:val="00234E63"/>
    <w:rsid w:val="002931F1"/>
    <w:rsid w:val="002A2E12"/>
    <w:rsid w:val="002B4746"/>
    <w:rsid w:val="002B4ED0"/>
    <w:rsid w:val="002C2983"/>
    <w:rsid w:val="00310A40"/>
    <w:rsid w:val="003231B5"/>
    <w:rsid w:val="00337AE8"/>
    <w:rsid w:val="003457D8"/>
    <w:rsid w:val="003C08BF"/>
    <w:rsid w:val="003D36DE"/>
    <w:rsid w:val="003E51AC"/>
    <w:rsid w:val="003E5758"/>
    <w:rsid w:val="00454CEC"/>
    <w:rsid w:val="00477C5B"/>
    <w:rsid w:val="004B12F5"/>
    <w:rsid w:val="004F7239"/>
    <w:rsid w:val="0059022E"/>
    <w:rsid w:val="0059192E"/>
    <w:rsid w:val="005A3EE6"/>
    <w:rsid w:val="005A661D"/>
    <w:rsid w:val="005C61BF"/>
    <w:rsid w:val="005D2D26"/>
    <w:rsid w:val="005E63D6"/>
    <w:rsid w:val="005F3FB3"/>
    <w:rsid w:val="006370C5"/>
    <w:rsid w:val="0066478E"/>
    <w:rsid w:val="00664FBD"/>
    <w:rsid w:val="00673CF0"/>
    <w:rsid w:val="006947A4"/>
    <w:rsid w:val="006B03AF"/>
    <w:rsid w:val="006B3651"/>
    <w:rsid w:val="006D60BB"/>
    <w:rsid w:val="006F3519"/>
    <w:rsid w:val="006F737D"/>
    <w:rsid w:val="007027BC"/>
    <w:rsid w:val="00716779"/>
    <w:rsid w:val="00717A47"/>
    <w:rsid w:val="007219E7"/>
    <w:rsid w:val="007272A5"/>
    <w:rsid w:val="00731CC8"/>
    <w:rsid w:val="00756AB2"/>
    <w:rsid w:val="007738EA"/>
    <w:rsid w:val="00794E87"/>
    <w:rsid w:val="00803537"/>
    <w:rsid w:val="0081637E"/>
    <w:rsid w:val="008219EE"/>
    <w:rsid w:val="00822FB5"/>
    <w:rsid w:val="00853BFE"/>
    <w:rsid w:val="00856557"/>
    <w:rsid w:val="0086134D"/>
    <w:rsid w:val="008904CB"/>
    <w:rsid w:val="008A4913"/>
    <w:rsid w:val="008A57AD"/>
    <w:rsid w:val="008A7D80"/>
    <w:rsid w:val="008D6D7D"/>
    <w:rsid w:val="008F2882"/>
    <w:rsid w:val="00907D90"/>
    <w:rsid w:val="00910A57"/>
    <w:rsid w:val="00965CEA"/>
    <w:rsid w:val="00996DA0"/>
    <w:rsid w:val="009C1DA8"/>
    <w:rsid w:val="009C3B6B"/>
    <w:rsid w:val="009F6612"/>
    <w:rsid w:val="00A02276"/>
    <w:rsid w:val="00A029B1"/>
    <w:rsid w:val="00A14FF1"/>
    <w:rsid w:val="00A30BFA"/>
    <w:rsid w:val="00A37572"/>
    <w:rsid w:val="00A4155B"/>
    <w:rsid w:val="00A662AA"/>
    <w:rsid w:val="00AC0C06"/>
    <w:rsid w:val="00AD4C94"/>
    <w:rsid w:val="00AF255B"/>
    <w:rsid w:val="00B22062"/>
    <w:rsid w:val="00B378C9"/>
    <w:rsid w:val="00B530E0"/>
    <w:rsid w:val="00B5707E"/>
    <w:rsid w:val="00B74153"/>
    <w:rsid w:val="00BB02C8"/>
    <w:rsid w:val="00BF4BF4"/>
    <w:rsid w:val="00C15FFC"/>
    <w:rsid w:val="00C239D1"/>
    <w:rsid w:val="00C24D4D"/>
    <w:rsid w:val="00C5068B"/>
    <w:rsid w:val="00C62194"/>
    <w:rsid w:val="00CC0B8C"/>
    <w:rsid w:val="00CD11A2"/>
    <w:rsid w:val="00CE1367"/>
    <w:rsid w:val="00CE1ACB"/>
    <w:rsid w:val="00CF4C41"/>
    <w:rsid w:val="00D04697"/>
    <w:rsid w:val="00D0472D"/>
    <w:rsid w:val="00D41F4B"/>
    <w:rsid w:val="00D4437D"/>
    <w:rsid w:val="00D6279A"/>
    <w:rsid w:val="00D706CF"/>
    <w:rsid w:val="00D85D28"/>
    <w:rsid w:val="00DA5437"/>
    <w:rsid w:val="00DC679A"/>
    <w:rsid w:val="00DE015F"/>
    <w:rsid w:val="00DE58BB"/>
    <w:rsid w:val="00E01F5C"/>
    <w:rsid w:val="00E05CB9"/>
    <w:rsid w:val="00E35ECD"/>
    <w:rsid w:val="00E41E06"/>
    <w:rsid w:val="00E5099A"/>
    <w:rsid w:val="00E542CA"/>
    <w:rsid w:val="00E93B91"/>
    <w:rsid w:val="00EE285F"/>
    <w:rsid w:val="00EE767B"/>
    <w:rsid w:val="00F127A3"/>
    <w:rsid w:val="00F12C86"/>
    <w:rsid w:val="00F30C3E"/>
    <w:rsid w:val="00F42064"/>
    <w:rsid w:val="00F60D5E"/>
    <w:rsid w:val="00F85EE2"/>
    <w:rsid w:val="00FA643C"/>
    <w:rsid w:val="00FE4DD6"/>
    <w:rsid w:val="00FF7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cronym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53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47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477C5B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99"/>
    <w:rsid w:val="00477C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rnimoHTML">
    <w:name w:val="HTML Acronym"/>
    <w:basedOn w:val="Tipodeletrapredefinidodopargrafo"/>
    <w:uiPriority w:val="99"/>
    <w:rsid w:val="00996DA0"/>
    <w:rPr>
      <w:rFonts w:cs="Times New Roman"/>
    </w:rPr>
  </w:style>
  <w:style w:type="paragraph" w:customStyle="1" w:styleId="bold1">
    <w:name w:val="bold1"/>
    <w:basedOn w:val="Normal"/>
    <w:uiPriority w:val="99"/>
    <w:rsid w:val="00996DA0"/>
    <w:pPr>
      <w:spacing w:after="3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pt-PT"/>
    </w:rPr>
  </w:style>
  <w:style w:type="character" w:customStyle="1" w:styleId="font-bold">
    <w:name w:val="font-bold"/>
    <w:basedOn w:val="Tipodeletrapredefinidodopargrafo"/>
    <w:uiPriority w:val="99"/>
    <w:rsid w:val="00996DA0"/>
    <w:rPr>
      <w:rFonts w:cs="Times New Roman"/>
    </w:rPr>
  </w:style>
  <w:style w:type="character" w:styleId="Hiperligao">
    <w:name w:val="Hyperlink"/>
    <w:basedOn w:val="Tipodeletrapredefinidodopargrafo"/>
    <w:uiPriority w:val="99"/>
    <w:rsid w:val="00996DA0"/>
    <w:rPr>
      <w:rFonts w:cs="Times New Roman"/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996DA0"/>
    <w:rPr>
      <w:rFonts w:cs="Times New Roman"/>
      <w:b/>
      <w:bCs/>
    </w:rPr>
  </w:style>
  <w:style w:type="paragraph" w:customStyle="1" w:styleId="Default">
    <w:name w:val="Default"/>
    <w:uiPriority w:val="99"/>
    <w:rsid w:val="003C08BF"/>
    <w:pPr>
      <w:autoSpaceDE w:val="0"/>
      <w:autoSpaceDN w:val="0"/>
      <w:adjustRightInd w:val="0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C0B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D70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rgba">
    <w:name w:val="rgba"/>
    <w:basedOn w:val="Tipodeletrapredefinidodopargrafo"/>
    <w:rsid w:val="00DE58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.pt/web/guest/pesquisa/-/search/66016527/details/normal?l=1" TargetMode="External"/><Relationship Id="rId13" Type="http://schemas.openxmlformats.org/officeDocument/2006/relationships/hyperlink" Target="https://dre.pt/application/file/66528735" TargetMode="External"/><Relationship Id="rId18" Type="http://schemas.openxmlformats.org/officeDocument/2006/relationships/hyperlink" Target="https://dre.pt/web/guest/pesquisa/-/search/447916/details/normal?l=1" TargetMode="External"/><Relationship Id="rId26" Type="http://schemas.openxmlformats.org/officeDocument/2006/relationships/hyperlink" Target="https://dre.pt/application/file/66396382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re.pt/application/external/eurolex?13L0014" TargetMode="External"/><Relationship Id="rId34" Type="http://schemas.openxmlformats.org/officeDocument/2006/relationships/hyperlink" Target="https://dre.pt/application/file/66622102" TargetMode="External"/><Relationship Id="rId7" Type="http://schemas.openxmlformats.org/officeDocument/2006/relationships/hyperlink" Target="https://dre.pt/application/file/66602937" TargetMode="External"/><Relationship Id="rId12" Type="http://schemas.openxmlformats.org/officeDocument/2006/relationships/hyperlink" Target="https://dre.pt/application/file/66492907" TargetMode="External"/><Relationship Id="rId17" Type="http://schemas.openxmlformats.org/officeDocument/2006/relationships/hyperlink" Target="https://dre.pt/application/external/eurolex?06L0123" TargetMode="External"/><Relationship Id="rId25" Type="http://schemas.openxmlformats.org/officeDocument/2006/relationships/hyperlink" Target="https://dre.pt/web/guest/pesquisa/-/search/494531/details/normal?l=1" TargetMode="External"/><Relationship Id="rId33" Type="http://schemas.openxmlformats.org/officeDocument/2006/relationships/hyperlink" Target="https://dre.pt/application/file/66622095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re.pt/application/external/eurolex?05L0036" TargetMode="External"/><Relationship Id="rId20" Type="http://schemas.openxmlformats.org/officeDocument/2006/relationships/hyperlink" Target="https://dre.pt/application/external/eurolex?11L0061" TargetMode="External"/><Relationship Id="rId29" Type="http://schemas.openxmlformats.org/officeDocument/2006/relationships/hyperlink" Target="https://dre.pt/application/file/6645714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dre.pt/application/file/66432651" TargetMode="External"/><Relationship Id="rId24" Type="http://schemas.openxmlformats.org/officeDocument/2006/relationships/hyperlink" Target="https://dre.pt/application/file/66536647" TargetMode="External"/><Relationship Id="rId32" Type="http://schemas.openxmlformats.org/officeDocument/2006/relationships/hyperlink" Target="https://dre.pt/application/file/66622093" TargetMode="External"/><Relationship Id="rId37" Type="http://schemas.openxmlformats.org/officeDocument/2006/relationships/hyperlink" Target="https://dre.pt/application/file/666220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e.pt/web/guest/pesquisa/-/search/334094/details/normal?l=1" TargetMode="External"/><Relationship Id="rId23" Type="http://schemas.openxmlformats.org/officeDocument/2006/relationships/hyperlink" Target="https://dre.pt/web/guest/pesquisa/-/search/588807/details/normal?l=1" TargetMode="External"/><Relationship Id="rId28" Type="http://schemas.openxmlformats.org/officeDocument/2006/relationships/hyperlink" Target="https://dre.pt/application/file/66442813" TargetMode="External"/><Relationship Id="rId36" Type="http://schemas.openxmlformats.org/officeDocument/2006/relationships/hyperlink" Target="https://dre.pt/application/file/66598779" TargetMode="External"/><Relationship Id="rId10" Type="http://schemas.openxmlformats.org/officeDocument/2006/relationships/hyperlink" Target="https://dre.pt/web/guest/pesquisa/-/search/66022084/details/normal?l=1" TargetMode="External"/><Relationship Id="rId19" Type="http://schemas.openxmlformats.org/officeDocument/2006/relationships/hyperlink" Target="https://dre.pt/application/file/66575722" TargetMode="External"/><Relationship Id="rId31" Type="http://schemas.openxmlformats.org/officeDocument/2006/relationships/hyperlink" Target="https://dre.pt/application/file/664929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e.pt/application/file/66622088" TargetMode="External"/><Relationship Id="rId14" Type="http://schemas.openxmlformats.org/officeDocument/2006/relationships/hyperlink" Target="https://dre.pt/web/guest/pesquisa/-/search/604779/details/normal?l=1" TargetMode="External"/><Relationship Id="rId22" Type="http://schemas.openxmlformats.org/officeDocument/2006/relationships/hyperlink" Target="https://dre.pt/application/file/66492910" TargetMode="External"/><Relationship Id="rId27" Type="http://schemas.openxmlformats.org/officeDocument/2006/relationships/hyperlink" Target="https://dre.pt/application/file/66492911" TargetMode="External"/><Relationship Id="rId30" Type="http://schemas.openxmlformats.org/officeDocument/2006/relationships/hyperlink" Target="https://dre.pt/web/guest/pesquisa/-/search/178484/details/normal?l=1" TargetMode="External"/><Relationship Id="rId35" Type="http://schemas.openxmlformats.org/officeDocument/2006/relationships/hyperlink" Target="https://dre.pt/application/file/66622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F9881-870D-4F39-B4AD-8B9CD831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1534</Words>
  <Characters>12221</Characters>
  <Application>Microsoft Office Word</Application>
  <DocSecurity>0</DocSecurity>
  <Lines>101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LRibeiro</dc:creator>
  <cp:keywords/>
  <dc:description/>
  <cp:lastModifiedBy>Luísa Ribeiro</cp:lastModifiedBy>
  <cp:revision>64</cp:revision>
  <dcterms:created xsi:type="dcterms:W3CDTF">2009-02-03T15:14:00Z</dcterms:created>
  <dcterms:modified xsi:type="dcterms:W3CDTF">2015-03-12T18:17:00Z</dcterms:modified>
</cp:coreProperties>
</file>